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E18D8" w14:textId="34A6C76C" w:rsidR="00221C70" w:rsidRPr="00614DD8" w:rsidRDefault="00221C70" w:rsidP="00221C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614DD8">
        <w:rPr>
          <w:rFonts w:ascii="Arial" w:eastAsia="SimSun" w:hAnsi="Arial" w:cs="Times New Roman"/>
          <w:b/>
          <w:bCs/>
          <w:sz w:val="24"/>
          <w:szCs w:val="20"/>
        </w:rPr>
        <w:t>3GPP T</w:t>
      </w:r>
      <w:bookmarkStart w:id="2" w:name="_Ref452454252"/>
      <w:bookmarkEnd w:id="2"/>
      <w:r w:rsidRPr="00614DD8">
        <w:rPr>
          <w:rFonts w:ascii="Arial" w:eastAsia="SimSun" w:hAnsi="Arial" w:cs="Times New Roman"/>
          <w:b/>
          <w:bCs/>
          <w:sz w:val="24"/>
          <w:szCs w:val="20"/>
        </w:rPr>
        <w:t xml:space="preserve">SG-RAN </w:t>
      </w:r>
      <w:r w:rsidRPr="00614DD8">
        <w:rPr>
          <w:rFonts w:ascii="Arial" w:eastAsia="SimSun" w:hAnsi="Arial" w:cs="Times New Roman"/>
          <w:b/>
          <w:sz w:val="24"/>
          <w:szCs w:val="20"/>
        </w:rPr>
        <w:t>WG4 Meeting #110bis</w:t>
      </w:r>
      <w:r w:rsidRPr="00614DD8">
        <w:rPr>
          <w:rFonts w:ascii="Arial" w:eastAsia="SimSun" w:hAnsi="Arial" w:cs="Times New Roman"/>
          <w:b/>
          <w:bCs/>
          <w:sz w:val="24"/>
          <w:szCs w:val="20"/>
        </w:rPr>
        <w:tab/>
      </w:r>
      <w:r w:rsidR="00824F15" w:rsidRPr="00824F15">
        <w:rPr>
          <w:rFonts w:ascii="Arial" w:eastAsia="SimSun" w:hAnsi="Arial" w:cs="Times New Roman"/>
          <w:b/>
          <w:bCs/>
          <w:sz w:val="24"/>
          <w:szCs w:val="20"/>
          <w:lang w:eastAsia="ja-JP"/>
        </w:rPr>
        <w:t>R4-2405754</w:t>
      </w:r>
    </w:p>
    <w:p w14:paraId="66AC0117" w14:textId="77777777" w:rsidR="00221C70" w:rsidRPr="00614DD8" w:rsidRDefault="00221C70" w:rsidP="00221C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614DD8">
        <w:rPr>
          <w:rFonts w:ascii="Arial" w:eastAsia="SimSun" w:hAnsi="Arial" w:cs="Times New Roman"/>
          <w:b/>
          <w:sz w:val="24"/>
          <w:szCs w:val="20"/>
        </w:rPr>
        <w:t>Changsha, China, April 15 – April 19, 2024</w:t>
      </w:r>
    </w:p>
    <w:bookmarkEnd w:id="0"/>
    <w:bookmarkEnd w:id="1"/>
    <w:p w14:paraId="7AEFA863" w14:textId="0F87FFE8"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71BE61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4579BA8" w14:textId="764A93A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F06C91">
        <w:rPr>
          <w:rFonts w:ascii="Arial" w:eastAsia="Calibri" w:hAnsi="Arial" w:cs="Arial"/>
          <w:b/>
          <w:bCs/>
          <w:sz w:val="24"/>
        </w:rPr>
        <w:t xml:space="preserve">Maintenace </w:t>
      </w:r>
      <w:r w:rsidR="006974DA">
        <w:rPr>
          <w:rFonts w:ascii="Arial" w:eastAsia="Calibri" w:hAnsi="Arial" w:cs="Arial"/>
          <w:b/>
          <w:bCs/>
          <w:sz w:val="24"/>
        </w:rPr>
        <w:t>on mobility requirements for IoT NTN enhancements</w:t>
      </w:r>
    </w:p>
    <w:p w14:paraId="0FFB73EB" w14:textId="4706EF78" w:rsidR="00841BCD" w:rsidRPr="006974DA" w:rsidRDefault="00841BCD" w:rsidP="00841BCD">
      <w:pPr>
        <w:tabs>
          <w:tab w:val="left" w:pos="1985"/>
        </w:tabs>
        <w:spacing w:after="120" w:line="240" w:lineRule="auto"/>
        <w:rPr>
          <w:rFonts w:ascii="Arial" w:eastAsia="MS Mincho" w:hAnsi="Arial" w:cs="Arial"/>
          <w:b/>
          <w:bCs/>
          <w:sz w:val="24"/>
          <w:szCs w:val="20"/>
          <w:lang w:val="pt-BR"/>
        </w:rPr>
      </w:pPr>
      <w:r w:rsidRPr="006974DA">
        <w:rPr>
          <w:rFonts w:ascii="Arial" w:eastAsia="MS Mincho" w:hAnsi="Arial" w:cs="Arial"/>
          <w:b/>
          <w:bCs/>
          <w:sz w:val="24"/>
          <w:szCs w:val="20"/>
          <w:lang w:val="pt-BR"/>
        </w:rPr>
        <w:t>Agenda item:</w:t>
      </w:r>
      <w:r w:rsidRPr="006974DA">
        <w:rPr>
          <w:rFonts w:ascii="Arial" w:eastAsia="MS Mincho" w:hAnsi="Arial" w:cs="Arial"/>
          <w:b/>
          <w:bCs/>
          <w:sz w:val="24"/>
          <w:szCs w:val="20"/>
          <w:lang w:val="pt-BR"/>
        </w:rPr>
        <w:tab/>
      </w:r>
      <w:r w:rsidR="00824F15">
        <w:rPr>
          <w:rFonts w:ascii="Arial" w:eastAsia="MS Mincho" w:hAnsi="Arial" w:cs="Arial"/>
          <w:b/>
          <w:bCs/>
          <w:sz w:val="24"/>
          <w:szCs w:val="20"/>
          <w:lang w:val="pt-BR"/>
        </w:rPr>
        <w:t>7.3.3</w:t>
      </w:r>
    </w:p>
    <w:p w14:paraId="3C9AC9D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93D7A1F" w14:textId="77777777" w:rsidR="00E323E9" w:rsidRPr="008C39F7" w:rsidRDefault="00E323E9" w:rsidP="00841BCD">
      <w:pPr>
        <w:tabs>
          <w:tab w:val="left" w:pos="1985"/>
        </w:tabs>
        <w:rPr>
          <w:rFonts w:ascii="Arial" w:eastAsia="Calibri" w:hAnsi="Arial" w:cs="Arial"/>
          <w:b/>
          <w:bCs/>
          <w:sz w:val="24"/>
        </w:rPr>
      </w:pPr>
    </w:p>
    <w:p w14:paraId="6682C243" w14:textId="77777777" w:rsidR="00841BCD" w:rsidRPr="008C39F7" w:rsidRDefault="00841BCD" w:rsidP="00A37002">
      <w:pPr>
        <w:pStyle w:val="RAN4H1"/>
      </w:pPr>
      <w:bookmarkStart w:id="3" w:name="_Toc116995841"/>
      <w:r w:rsidRPr="008C39F7">
        <w:t>Intro</w:t>
      </w:r>
      <w:r w:rsidRPr="008C39F7">
        <w:rPr>
          <w:rStyle w:val="RAN4H1Char"/>
        </w:rPr>
        <w:t>ductio</w:t>
      </w:r>
      <w:r w:rsidRPr="008C39F7">
        <w:t>n</w:t>
      </w:r>
      <w:bookmarkEnd w:id="3"/>
    </w:p>
    <w:p w14:paraId="331DF73D" w14:textId="4D7D5940" w:rsidR="00622345" w:rsidRDefault="00622345" w:rsidP="005C23A4">
      <w:r>
        <w:t xml:space="preserve">Enhanced RRM aspects for NB-IoT/eMTC operation were introduced in the IoT_NTN_enh WI </w:t>
      </w:r>
      <w:r w:rsidR="005E1A6B">
        <w:fldChar w:fldCharType="begin"/>
      </w:r>
      <w:r w:rsidR="005E1A6B">
        <w:instrText xml:space="preserve"> REF _Ref159238942 \r \h </w:instrText>
      </w:r>
      <w:r w:rsidR="005E1A6B">
        <w:fldChar w:fldCharType="separate"/>
      </w:r>
      <w:r w:rsidR="005E1A6B">
        <w:t>[1]</w:t>
      </w:r>
      <w:r w:rsidR="005E1A6B">
        <w:fldChar w:fldCharType="end"/>
      </w:r>
      <w:r>
        <w:t xml:space="preserve">, which included mobility enhancements and other aspects related to the GNSS operation. The work related to the core part of RRM requirements was finalized in RAN4 #109 </w:t>
      </w:r>
      <w:r w:rsidR="005E1A6B">
        <w:fldChar w:fldCharType="begin"/>
      </w:r>
      <w:r w:rsidR="005E1A6B">
        <w:instrText xml:space="preserve"> REF _Ref159238957 \r \h </w:instrText>
      </w:r>
      <w:r w:rsidR="005E1A6B">
        <w:fldChar w:fldCharType="separate"/>
      </w:r>
      <w:r w:rsidR="005E1A6B">
        <w:t>[2]</w:t>
      </w:r>
      <w:r w:rsidR="005E1A6B">
        <w:fldChar w:fldCharType="end"/>
      </w:r>
      <w:r>
        <w:t xml:space="preserve">, but several aspects were left open for discussion in the maintenance phase. </w:t>
      </w:r>
    </w:p>
    <w:p w14:paraId="0A42BA57" w14:textId="120F96BF" w:rsidR="00622345" w:rsidRDefault="00622345" w:rsidP="005C23A4">
      <w:r>
        <w:t xml:space="preserve">The aim of this contribution is to discuss some of these open issues and advance their specification by means of contributed proposals. </w:t>
      </w:r>
    </w:p>
    <w:p w14:paraId="46EE79CE" w14:textId="77777777" w:rsidR="0060543D" w:rsidRPr="008C39F7" w:rsidRDefault="0060543D" w:rsidP="005C23A4"/>
    <w:p w14:paraId="45C3B83D" w14:textId="77777777" w:rsidR="003B659E" w:rsidRPr="008C39F7" w:rsidRDefault="003B659E" w:rsidP="00AE56B1">
      <w:pPr>
        <w:pStyle w:val="RAN4H1"/>
      </w:pPr>
      <w:bookmarkStart w:id="4" w:name="_Toc116995842"/>
      <w:r w:rsidRPr="008C39F7">
        <w:t>Discussion</w:t>
      </w:r>
      <w:bookmarkEnd w:id="4"/>
    </w:p>
    <w:p w14:paraId="7D84B1F6" w14:textId="7D5C51BC" w:rsidR="0060543D" w:rsidRDefault="00400FE5" w:rsidP="00400FE5">
      <w:pPr>
        <w:pStyle w:val="RAN4H2"/>
      </w:pPr>
      <w:r>
        <w:t>GNSS</w:t>
      </w:r>
      <w:r w:rsidR="00A06BC3">
        <w:t>-</w:t>
      </w:r>
      <w:r w:rsidR="00056B17">
        <w:t xml:space="preserve">MG </w:t>
      </w:r>
      <w:r w:rsidR="00270FB7">
        <w:t>i</w:t>
      </w:r>
      <w:r>
        <w:t xml:space="preserve">mpact on </w:t>
      </w:r>
      <w:r w:rsidR="00312E3E">
        <w:t>mobility measurements</w:t>
      </w:r>
    </w:p>
    <w:p w14:paraId="170E15D6" w14:textId="714FBCC9" w:rsidR="00CA0A54" w:rsidRDefault="008808F9" w:rsidP="00787B98">
      <w:r>
        <w:t xml:space="preserve">In </w:t>
      </w:r>
      <w:r w:rsidR="002B764E">
        <w:t>RAN4#109</w:t>
      </w:r>
      <w:r>
        <w:t>, RAN4 has discussed the impact of the GNSS</w:t>
      </w:r>
      <w:r w:rsidR="00A06BC3">
        <w:t>-</w:t>
      </w:r>
      <w:r>
        <w:t>MG on the radio link monitoring and in RR</w:t>
      </w:r>
      <w:r w:rsidR="00B93866">
        <w:t xml:space="preserve">M </w:t>
      </w:r>
      <w:r>
        <w:t xml:space="preserve">measurements reported by both eMTC and NB-IoT UEs. </w:t>
      </w:r>
    </w:p>
    <w:p w14:paraId="49854B42" w14:textId="3057EFAB" w:rsidR="00CA0A54" w:rsidRDefault="00CA0A54" w:rsidP="00787B98">
      <w:r>
        <w:t>The following agreements were reached:</w:t>
      </w:r>
    </w:p>
    <w:tbl>
      <w:tblPr>
        <w:tblStyle w:val="TableGrid"/>
        <w:tblW w:w="0" w:type="auto"/>
        <w:tblLook w:val="04A0" w:firstRow="1" w:lastRow="0" w:firstColumn="1" w:lastColumn="0" w:noHBand="0" w:noVBand="1"/>
      </w:tblPr>
      <w:tblGrid>
        <w:gridCol w:w="9617"/>
      </w:tblGrid>
      <w:tr w:rsidR="00CA0A54" w14:paraId="190FC61E" w14:textId="77777777" w:rsidTr="00CA0A54">
        <w:tc>
          <w:tcPr>
            <w:tcW w:w="9617" w:type="dxa"/>
          </w:tcPr>
          <w:p w14:paraId="09EE41BB" w14:textId="77777777" w:rsidR="00CA0A54" w:rsidRPr="00944497" w:rsidRDefault="00CA0A54" w:rsidP="00CA0A54">
            <w:pPr>
              <w:keepNext/>
              <w:keepLines/>
              <w:spacing w:before="120"/>
              <w:outlineLvl w:val="2"/>
              <w:rPr>
                <w:rFonts w:ascii="Arial" w:hAnsi="Arial"/>
                <w:sz w:val="28"/>
                <w:szCs w:val="18"/>
                <w:lang w:eastAsia="zh-CN"/>
              </w:rPr>
            </w:pPr>
            <w:r w:rsidRPr="00944497">
              <w:rPr>
                <w:rFonts w:ascii="Arial" w:hAnsi="Arial"/>
                <w:sz w:val="28"/>
                <w:szCs w:val="18"/>
                <w:lang w:eastAsia="zh-CN"/>
              </w:rPr>
              <w:t xml:space="preserve">Sub-Topic 1-4: GNSS re-acquisition gap </w:t>
            </w:r>
            <w:r w:rsidRPr="00944497">
              <w:rPr>
                <w:rFonts w:ascii="Arial" w:hAnsi="Arial" w:hint="eastAsia"/>
                <w:sz w:val="28"/>
                <w:szCs w:val="18"/>
                <w:lang w:eastAsia="zh-CN"/>
              </w:rPr>
              <w:t>i</w:t>
            </w:r>
            <w:r w:rsidRPr="00944497">
              <w:rPr>
                <w:rFonts w:ascii="Arial" w:hAnsi="Arial"/>
                <w:sz w:val="28"/>
                <w:szCs w:val="18"/>
                <w:lang w:eastAsia="zh-CN"/>
              </w:rPr>
              <w:t xml:space="preserve">n connected mode  </w:t>
            </w:r>
          </w:p>
          <w:p w14:paraId="145C4A80" w14:textId="77777777" w:rsidR="00CA0A54" w:rsidRPr="00944497" w:rsidRDefault="00CA0A54" w:rsidP="00CA0A54">
            <w:pPr>
              <w:keepNext/>
              <w:keepLines/>
              <w:spacing w:before="120"/>
              <w:outlineLvl w:val="3"/>
              <w:rPr>
                <w:rFonts w:ascii="Arial" w:hAnsi="Arial"/>
                <w:sz w:val="24"/>
                <w:szCs w:val="18"/>
                <w:lang w:eastAsia="zh-CN"/>
              </w:rPr>
            </w:pPr>
            <w:r w:rsidRPr="00944497">
              <w:rPr>
                <w:rFonts w:ascii="Arial" w:hAnsi="Arial"/>
                <w:sz w:val="24"/>
                <w:szCs w:val="18"/>
                <w:lang w:eastAsia="zh-CN"/>
              </w:rPr>
              <w:t>Issue 1-4-1: GNSS-MG spec impact</w:t>
            </w:r>
          </w:p>
          <w:p w14:paraId="33A2C061" w14:textId="77777777" w:rsidR="00CA0A54" w:rsidRPr="00944497" w:rsidRDefault="00CA0A54" w:rsidP="00CA0A54">
            <w:pPr>
              <w:spacing w:after="120" w:line="252" w:lineRule="auto"/>
              <w:rPr>
                <w:szCs w:val="24"/>
                <w:lang w:eastAsia="zh-CN"/>
              </w:rPr>
            </w:pPr>
            <w:r w:rsidRPr="00944497">
              <w:rPr>
                <w:szCs w:val="24"/>
                <w:lang w:eastAsia="zh-CN"/>
              </w:rPr>
              <w:t>Agreement:</w:t>
            </w:r>
          </w:p>
          <w:p w14:paraId="05BB25B4" w14:textId="77777777" w:rsidR="00CA0A54" w:rsidRPr="00CA0A54" w:rsidRDefault="00CA0A54" w:rsidP="0039109D">
            <w:pPr>
              <w:numPr>
                <w:ilvl w:val="0"/>
                <w:numId w:val="8"/>
              </w:numPr>
              <w:overflowPunct w:val="0"/>
              <w:autoSpaceDE w:val="0"/>
              <w:autoSpaceDN w:val="0"/>
              <w:adjustRightInd w:val="0"/>
              <w:spacing w:after="120"/>
              <w:textAlignment w:val="baseline"/>
              <w:rPr>
                <w:rFonts w:eastAsia="PMingLiU"/>
                <w:highlight w:val="cyan"/>
                <w:lang w:eastAsia="zh-TW"/>
              </w:rPr>
            </w:pPr>
            <w:r w:rsidRPr="00CA0A54">
              <w:rPr>
                <w:rFonts w:eastAsia="PMingLiU"/>
                <w:highlight w:val="cyan"/>
                <w:lang w:eastAsia="zh-TW"/>
              </w:rPr>
              <w:t xml:space="preserve">Add generic description that the measurements are suspended when UE is performing GNSS measurement during GNSS measurement gap. Wording to be discussed directly in the CR. </w:t>
            </w:r>
          </w:p>
          <w:p w14:paraId="77A22368" w14:textId="77777777" w:rsidR="00CA0A54" w:rsidRPr="00944497" w:rsidRDefault="00CA0A54" w:rsidP="0039109D">
            <w:pPr>
              <w:numPr>
                <w:ilvl w:val="0"/>
                <w:numId w:val="8"/>
              </w:numPr>
              <w:overflowPunct w:val="0"/>
              <w:autoSpaceDE w:val="0"/>
              <w:autoSpaceDN w:val="0"/>
              <w:adjustRightInd w:val="0"/>
              <w:spacing w:after="180"/>
              <w:textAlignment w:val="baseline"/>
              <w:rPr>
                <w:rFonts w:eastAsia="PMingLiU"/>
                <w:lang w:eastAsia="zh-TW"/>
              </w:rPr>
            </w:pPr>
            <w:r w:rsidRPr="00944497">
              <w:rPr>
                <w:rFonts w:eastAsia="PMingLiU"/>
                <w:lang w:eastAsia="zh-TW"/>
              </w:rPr>
              <w:t>For NB-IoT, UE shall restart the cell measurement when the interval between two samples are larger than 5000 ms.</w:t>
            </w:r>
          </w:p>
          <w:p w14:paraId="223555C1" w14:textId="77777777" w:rsidR="00CA0A54" w:rsidRPr="00CA0A54" w:rsidRDefault="00CA0A54" w:rsidP="0039109D">
            <w:pPr>
              <w:numPr>
                <w:ilvl w:val="0"/>
                <w:numId w:val="8"/>
              </w:numPr>
              <w:overflowPunct w:val="0"/>
              <w:autoSpaceDE w:val="0"/>
              <w:autoSpaceDN w:val="0"/>
              <w:adjustRightInd w:val="0"/>
              <w:spacing w:after="120"/>
              <w:textAlignment w:val="baseline"/>
              <w:rPr>
                <w:rFonts w:eastAsia="PMingLiU"/>
                <w:highlight w:val="cyan"/>
                <w:lang w:eastAsia="zh-TW"/>
              </w:rPr>
            </w:pPr>
            <w:r w:rsidRPr="00CA0A54">
              <w:rPr>
                <w:rFonts w:eastAsia="PMingLiU"/>
                <w:highlight w:val="cyan"/>
                <w:lang w:eastAsia="zh-TW"/>
              </w:rPr>
              <w:t xml:space="preserve">For eMTC, the modification for the case that GNSS-MG is larger than the eDRX cycle can be further study in the maintenance phase. </w:t>
            </w:r>
          </w:p>
          <w:p w14:paraId="73278216" w14:textId="77777777" w:rsidR="00CA0A54" w:rsidRPr="00944497" w:rsidRDefault="00CA0A54" w:rsidP="00CA0A54">
            <w:pPr>
              <w:rPr>
                <w:rFonts w:eastAsia="PMingLiU"/>
                <w:iCs/>
                <w:lang w:eastAsia="zh-TW"/>
              </w:rPr>
            </w:pPr>
          </w:p>
          <w:p w14:paraId="4DB66FF1" w14:textId="77777777" w:rsidR="00CA0A54" w:rsidRPr="00944497" w:rsidRDefault="00CA0A54" w:rsidP="00CA0A54">
            <w:pPr>
              <w:keepNext/>
              <w:keepLines/>
              <w:spacing w:before="120"/>
              <w:outlineLvl w:val="3"/>
              <w:rPr>
                <w:rFonts w:ascii="Arial" w:hAnsi="Arial"/>
                <w:sz w:val="24"/>
                <w:szCs w:val="18"/>
                <w:lang w:eastAsia="zh-CN"/>
              </w:rPr>
            </w:pPr>
            <w:r w:rsidRPr="00944497">
              <w:rPr>
                <w:rFonts w:ascii="Arial" w:hAnsi="Arial"/>
                <w:sz w:val="24"/>
                <w:szCs w:val="18"/>
                <w:lang w:eastAsia="zh-CN"/>
              </w:rPr>
              <w:t>Issue 1-4-2: For eMTC, GNSS-MG overlapping with MG</w:t>
            </w:r>
          </w:p>
          <w:p w14:paraId="6AF14465" w14:textId="77777777" w:rsidR="00CA0A54" w:rsidRPr="00944497" w:rsidRDefault="00CA0A54" w:rsidP="00CA0A54">
            <w:pPr>
              <w:spacing w:after="120" w:line="252" w:lineRule="auto"/>
              <w:rPr>
                <w:szCs w:val="24"/>
                <w:lang w:eastAsia="zh-CN"/>
              </w:rPr>
            </w:pPr>
            <w:r w:rsidRPr="00944497">
              <w:rPr>
                <w:szCs w:val="24"/>
                <w:lang w:eastAsia="zh-CN"/>
              </w:rPr>
              <w:t>Agreement:</w:t>
            </w:r>
          </w:p>
          <w:p w14:paraId="44D9BA59" w14:textId="77777777" w:rsidR="00CA0A54" w:rsidRPr="00944497" w:rsidRDefault="00CA0A54" w:rsidP="0039109D">
            <w:pPr>
              <w:numPr>
                <w:ilvl w:val="0"/>
                <w:numId w:val="7"/>
              </w:numPr>
              <w:overflowPunct w:val="0"/>
              <w:autoSpaceDE w:val="0"/>
              <w:autoSpaceDN w:val="0"/>
              <w:adjustRightInd w:val="0"/>
              <w:spacing w:after="120"/>
              <w:textAlignment w:val="baseline"/>
              <w:rPr>
                <w:rFonts w:eastAsia="PMingLiU"/>
                <w:lang w:eastAsia="zh-TW"/>
              </w:rPr>
            </w:pPr>
            <w:r w:rsidRPr="0E590DB0">
              <w:rPr>
                <w:rFonts w:eastAsia="PMingLiU"/>
                <w:lang w:eastAsia="zh-TW"/>
              </w:rPr>
              <w:t xml:space="preserve">When GNSS gap overlaps with MG, </w:t>
            </w:r>
            <w:r w:rsidRPr="0E590DB0">
              <w:rPr>
                <w:rFonts w:eastAsia="PMingLiU"/>
                <w:u w:val="single"/>
                <w:lang w:eastAsia="zh-TW"/>
              </w:rPr>
              <w:t>MG applies</w:t>
            </w:r>
            <w:r w:rsidRPr="0E590DB0">
              <w:rPr>
                <w:rFonts w:eastAsia="PMingLiU"/>
                <w:lang w:eastAsia="zh-TW"/>
              </w:rPr>
              <w:t xml:space="preserve"> if GNSS-MG is terminated earlier than MG and </w:t>
            </w:r>
            <w:r w:rsidRPr="0E590DB0">
              <w:rPr>
                <w:rFonts w:eastAsia="PMingLiU"/>
                <w:u w:val="single"/>
                <w:lang w:eastAsia="zh-TW"/>
              </w:rPr>
              <w:t>after RA procedure.</w:t>
            </w:r>
          </w:p>
          <w:p w14:paraId="1FFBC70B" w14:textId="77777777" w:rsidR="00CA0A54" w:rsidRDefault="00CA0A54" w:rsidP="00787B98"/>
        </w:tc>
      </w:tr>
    </w:tbl>
    <w:p w14:paraId="5CCDCB80" w14:textId="77777777" w:rsidR="00CA0A54" w:rsidRDefault="00CA0A54" w:rsidP="00787B98"/>
    <w:p w14:paraId="1D4CE1B8" w14:textId="14D63343" w:rsidR="00CA0A54" w:rsidRDefault="00CA0A54" w:rsidP="00787B98">
      <w:r>
        <w:t xml:space="preserve">In this contribution we would like to discuss the two items highlighted in blue above. </w:t>
      </w:r>
    </w:p>
    <w:p w14:paraId="52DF3FFE" w14:textId="77777777" w:rsidR="002B764E" w:rsidRDefault="002B764E" w:rsidP="00CA0A54"/>
    <w:p w14:paraId="6F5F7FF9" w14:textId="22375DCD" w:rsidR="002B764E" w:rsidRDefault="002B764E" w:rsidP="00CA0A54">
      <w:r w:rsidRPr="002B764E">
        <w:t>The issue with the initial agreement lies in its failure to specify the duration of the measurements. This would not pose a problem if the configuration and triggering of GNSS-MG were anticipated to occur rarely or infrequently. However, since GNSS-MG may be frequently configured and triggered, option 1 would lead to a situation where the RLM often has no applicable requirements.</w:t>
      </w:r>
    </w:p>
    <w:p w14:paraId="0F73A8FB" w14:textId="24EB211F" w:rsidR="00CA0A54" w:rsidRDefault="00CA0A54" w:rsidP="00CA0A54">
      <w:pPr>
        <w:pStyle w:val="RAN4observation0"/>
      </w:pPr>
      <w:bookmarkStart w:id="5" w:name="_Toc163500148"/>
      <w:r>
        <w:t xml:space="preserve">As GNSS-MG are expected to be frequently configured </w:t>
      </w:r>
      <w:r w:rsidR="002B764E">
        <w:t>and</w:t>
      </w:r>
      <w:r>
        <w:t xml:space="preserve"> triggered, current specification would ensue in frequently having non-applicable requirements for RLM.</w:t>
      </w:r>
      <w:bookmarkEnd w:id="5"/>
      <w:r>
        <w:t xml:space="preserve"> </w:t>
      </w:r>
    </w:p>
    <w:p w14:paraId="6C954FED" w14:textId="39A4E11F" w:rsidR="00CA0A54" w:rsidRDefault="00CA0A54" w:rsidP="002B764E">
      <w:pPr>
        <w:pStyle w:val="RAN4observation0"/>
        <w:numPr>
          <w:ilvl w:val="0"/>
          <w:numId w:val="0"/>
        </w:numPr>
      </w:pPr>
      <w:r>
        <w:t xml:space="preserve"> </w:t>
      </w:r>
    </w:p>
    <w:p w14:paraId="539C9113" w14:textId="77777777" w:rsidR="002B764E" w:rsidRDefault="002B764E" w:rsidP="00CA0A54">
      <w:r>
        <w:t>Besides, there duration of the eDRX cycle has to be taken into consideration when compared to the length of the GNSS-MG window. For example, c</w:t>
      </w:r>
      <w:r w:rsidR="00CA0A54">
        <w:t xml:space="preserve">onsider the case where UE is configured with an eDRX_Conn cycle of </w:t>
      </w:r>
      <w:r w:rsidR="00CA0A54" w:rsidRPr="00AC0CE7">
        <w:rPr>
          <w:b/>
          <w:bCs/>
        </w:rPr>
        <w:t>5.12</w:t>
      </w:r>
      <w:r w:rsidR="00CA0A54">
        <w:t xml:space="preserve"> seconds. By the requirements presented in clause 7.19.2.2 in TS 36.133, the time for the UE to evaluate this cell is relative to a given number of eDRX cycles. If this UE is configured with a GNSS-MG of 4 seconds, it might be the case that most of the GNSS-MG will fall within the sleeping/inactive period of a eDRX_Conn cycle. </w:t>
      </w:r>
    </w:p>
    <w:p w14:paraId="30384E37" w14:textId="77777777" w:rsidR="002B764E" w:rsidRDefault="002B764E" w:rsidP="00CA0A54"/>
    <w:p w14:paraId="6B8716E7" w14:textId="38765F71" w:rsidR="00CA0A54" w:rsidRDefault="00CA0A54" w:rsidP="00CA0A54">
      <w:r>
        <w:t xml:space="preserve">This scenario is represented in </w:t>
      </w:r>
      <w:r>
        <w:fldChar w:fldCharType="begin"/>
      </w:r>
      <w:r>
        <w:instrText xml:space="preserve"> REF _Ref149643279 \h </w:instrText>
      </w:r>
      <w:r>
        <w:fldChar w:fldCharType="separate"/>
      </w:r>
      <w:r>
        <w:t xml:space="preserve">Figure </w:t>
      </w:r>
      <w:r>
        <w:rPr>
          <w:noProof/>
        </w:rPr>
        <w:t>2</w:t>
      </w:r>
      <w:r>
        <w:fldChar w:fldCharType="end"/>
      </w:r>
      <w:r>
        <w:t xml:space="preserve">, observe that it is unlikely that the presence of GNSS-MG will disturb the UE capacity to perform RLM measurements within the Tevaluate period. </w:t>
      </w:r>
    </w:p>
    <w:p w14:paraId="28D65195" w14:textId="39DBFB7B" w:rsidR="002B764E" w:rsidRDefault="002B764E" w:rsidP="002B764E">
      <w:pPr>
        <w:pStyle w:val="RAN4observation0"/>
      </w:pPr>
      <w:bookmarkStart w:id="6" w:name="_Toc163500149"/>
      <w:r>
        <w:t>In many situations, when eDRX is configured</w:t>
      </w:r>
      <w:r w:rsidRPr="002B764E">
        <w:rPr>
          <w:b/>
          <w:bCs/>
          <w:u w:val="single"/>
        </w:rPr>
        <w:t>, there is no need</w:t>
      </w:r>
      <w:r>
        <w:t xml:space="preserve"> to have additional time for the UE to enlarge the RLM measurement delay.</w:t>
      </w:r>
      <w:bookmarkEnd w:id="6"/>
      <w:r>
        <w:t xml:space="preserve"> </w:t>
      </w:r>
    </w:p>
    <w:p w14:paraId="1E7F412E" w14:textId="77777777" w:rsidR="00CA0A54" w:rsidRPr="00AC0CE7" w:rsidRDefault="00CA0A54" w:rsidP="00CA0A54"/>
    <w:p w14:paraId="12F452A3" w14:textId="77777777" w:rsidR="00CA0A54" w:rsidRDefault="00CA0A54" w:rsidP="00CA0A54">
      <w:pPr>
        <w:keepNext/>
      </w:pPr>
      <w:r>
        <w:rPr>
          <w:noProof/>
        </w:rPr>
        <w:drawing>
          <wp:inline distT="0" distB="0" distL="0" distR="0" wp14:anchorId="2536E53A" wp14:editId="4604AAFA">
            <wp:extent cx="6644640" cy="1355150"/>
            <wp:effectExtent l="0" t="0" r="0" b="0"/>
            <wp:docPr id="1075668548" name="Picture 1075668548" descr="A blue square with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668548" name="Picture 1075668548" descr="A blue square with green square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93003" cy="1365013"/>
                    </a:xfrm>
                    <a:prstGeom prst="rect">
                      <a:avLst/>
                    </a:prstGeom>
                    <a:noFill/>
                  </pic:spPr>
                </pic:pic>
              </a:graphicData>
            </a:graphic>
          </wp:inline>
        </w:drawing>
      </w:r>
    </w:p>
    <w:p w14:paraId="4212F149" w14:textId="77777777" w:rsidR="00CA0A54" w:rsidRDefault="00CA0A54" w:rsidP="00CA0A54">
      <w:pPr>
        <w:pStyle w:val="Caption"/>
        <w:jc w:val="left"/>
      </w:pPr>
      <w:r>
        <w:t xml:space="preserve">Figure </w:t>
      </w:r>
      <w:r w:rsidR="00240D3B">
        <w:fldChar w:fldCharType="begin"/>
      </w:r>
      <w:r w:rsidR="00240D3B">
        <w:instrText xml:space="preserve"> SEQ Figure \* ARABIC </w:instrText>
      </w:r>
      <w:r w:rsidR="00240D3B">
        <w:fldChar w:fldCharType="separate"/>
      </w:r>
      <w:r>
        <w:rPr>
          <w:noProof/>
        </w:rPr>
        <w:t>2</w:t>
      </w:r>
      <w:r w:rsidR="00240D3B">
        <w:rPr>
          <w:noProof/>
        </w:rPr>
        <w:fldChar w:fldCharType="end"/>
      </w:r>
      <w:r>
        <w:t>. Example of the case where the GNSS-MG is smaller than the eDRX Conn Cycle</w:t>
      </w:r>
    </w:p>
    <w:p w14:paraId="6BBF4E97" w14:textId="2D9B89C2" w:rsidR="00CA0A54" w:rsidRDefault="00CA0A54" w:rsidP="00CA0A54">
      <w:pPr>
        <w:pStyle w:val="RAN4proposal"/>
      </w:pPr>
      <w:bookmarkStart w:id="7" w:name="_Toc163500150"/>
      <w:r>
        <w:t>Refine the specification text such that, for the cases where the GNSS-MG is smaller than the eDRX cycle, the RLM requirements are still applicable.</w:t>
      </w:r>
      <w:bookmarkEnd w:id="7"/>
      <w:r>
        <w:t xml:space="preserve"> </w:t>
      </w:r>
    </w:p>
    <w:p w14:paraId="3612E839" w14:textId="36FECADA" w:rsidR="00AC0CE7" w:rsidRDefault="00AC0CE7" w:rsidP="00AC0CE7">
      <w:r>
        <w:t xml:space="preserve">It might be that in certain cases the GNSS MG might collide with the “on duration” part of the DRX Cycle, as depicted in </w:t>
      </w:r>
      <w:r>
        <w:fldChar w:fldCharType="begin"/>
      </w:r>
      <w:r>
        <w:instrText xml:space="preserve"> REF _Ref149643583 \h </w:instrText>
      </w:r>
      <w:r>
        <w:fldChar w:fldCharType="separate"/>
      </w:r>
      <w:r>
        <w:t xml:space="preserve">Figure </w:t>
      </w:r>
      <w:r>
        <w:rPr>
          <w:noProof/>
        </w:rPr>
        <w:t>3</w:t>
      </w:r>
      <w:r>
        <w:fldChar w:fldCharType="end"/>
      </w:r>
      <w:r>
        <w:t>. For such cases</w:t>
      </w:r>
      <w:r w:rsidR="0063603E">
        <w:t xml:space="preserve">, the UE might not be able to collect measurements in the colliding DRX Cycle, and a new cycle might be needed to collect the same amount of measurements related to the earlier requirements. Because of that, </w:t>
      </w:r>
      <w:r>
        <w:t xml:space="preserve"> it might be reasonable to extend the duration of the </w:t>
      </w:r>
      <w:r w:rsidR="004A1863">
        <w:t>evaluation time</w:t>
      </w:r>
      <w:r>
        <w:t xml:space="preserve"> by one DRX cycle</w:t>
      </w:r>
      <w:r w:rsidR="00CA0A54">
        <w:t xml:space="preserve"> in such scenarios:</w:t>
      </w:r>
    </w:p>
    <w:p w14:paraId="6CCAC26F" w14:textId="67B8E935" w:rsidR="00AC0CE7" w:rsidRDefault="00AC0CE7" w:rsidP="00AC0CE7">
      <w:pPr>
        <w:pStyle w:val="RAN4proposal"/>
      </w:pPr>
      <w:bookmarkStart w:id="8" w:name="_Toc163500151"/>
      <w:r>
        <w:t xml:space="preserve">When the GNSS-MG </w:t>
      </w:r>
      <w:r w:rsidR="00C34D95">
        <w:t>is shorter than the (e)DRX cycle and it</w:t>
      </w:r>
      <w:r>
        <w:t xml:space="preserve"> collides with the on Duration part of one (e)DRX cycle, the time to evaluate requirements might be extended.</w:t>
      </w:r>
      <w:bookmarkEnd w:id="8"/>
      <w:r>
        <w:t xml:space="preserve"> </w:t>
      </w:r>
    </w:p>
    <w:p w14:paraId="1C6087C8" w14:textId="77777777" w:rsidR="00AC0CE7" w:rsidRPr="00AC0CE7" w:rsidRDefault="00AC0CE7" w:rsidP="00AC0CE7"/>
    <w:p w14:paraId="5DF2300F" w14:textId="77777777" w:rsidR="00AC0CE7" w:rsidRDefault="00AC0CE7" w:rsidP="00AC0CE7">
      <w:pPr>
        <w:keepNext/>
      </w:pPr>
      <w:r>
        <w:rPr>
          <w:noProof/>
        </w:rPr>
        <w:lastRenderedPageBreak/>
        <w:drawing>
          <wp:inline distT="0" distB="0" distL="0" distR="0" wp14:anchorId="15559098" wp14:editId="008E7C6D">
            <wp:extent cx="4123055" cy="3622348"/>
            <wp:effectExtent l="0" t="0" r="0" b="0"/>
            <wp:docPr id="1139309539" name="Picture 1139309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6042" cy="3624972"/>
                    </a:xfrm>
                    <a:prstGeom prst="rect">
                      <a:avLst/>
                    </a:prstGeom>
                    <a:noFill/>
                  </pic:spPr>
                </pic:pic>
              </a:graphicData>
            </a:graphic>
          </wp:inline>
        </w:drawing>
      </w:r>
    </w:p>
    <w:p w14:paraId="5E5EF2E3" w14:textId="177CE90C" w:rsidR="008808F9" w:rsidRDefault="00AC0CE7" w:rsidP="00AC0CE7">
      <w:pPr>
        <w:pStyle w:val="Caption"/>
        <w:jc w:val="left"/>
      </w:pPr>
      <w:bookmarkStart w:id="9" w:name="_Ref149643583"/>
      <w:r>
        <w:t xml:space="preserve">Figure </w:t>
      </w:r>
      <w:r w:rsidR="00240D3B">
        <w:fldChar w:fldCharType="begin"/>
      </w:r>
      <w:r w:rsidR="00240D3B">
        <w:instrText xml:space="preserve"> SEQ Figure \* ARABIC </w:instrText>
      </w:r>
      <w:r w:rsidR="00240D3B">
        <w:fldChar w:fldCharType="separate"/>
      </w:r>
      <w:r>
        <w:rPr>
          <w:noProof/>
        </w:rPr>
        <w:t>3</w:t>
      </w:r>
      <w:r w:rsidR="00240D3B">
        <w:rPr>
          <w:noProof/>
        </w:rPr>
        <w:fldChar w:fldCharType="end"/>
      </w:r>
      <w:bookmarkEnd w:id="9"/>
      <w:r>
        <w:t xml:space="preserve">. In case (a) there is no overlap between the GNSS-MG and the On Duration part of the DRX Cycle, whereas in case (b) the GNSS-MG collides with what would be the on duration part of a DRX Cycle. </w:t>
      </w:r>
    </w:p>
    <w:p w14:paraId="4CB087EA" w14:textId="1DDD77F4" w:rsidR="007F5FBA" w:rsidRDefault="00CA0A54" w:rsidP="007F5FBA">
      <w:pPr>
        <w:rPr>
          <w:bCs/>
        </w:rPr>
      </w:pPr>
      <w:r>
        <w:t xml:space="preserve">For the second highlighted sentence, we would like to evaluate the scenario where the GNSS-MG is larger than </w:t>
      </w:r>
      <w:r w:rsidR="007F5FBA">
        <w:t>the eDRX cycles. When a</w:t>
      </w:r>
      <w:r w:rsidR="009D4719">
        <w:rPr>
          <w:bCs/>
        </w:rPr>
        <w:t xml:space="preserve"> UE</w:t>
      </w:r>
      <w:r w:rsidR="007F5FBA">
        <w:rPr>
          <w:bCs/>
        </w:rPr>
        <w:t xml:space="preserve"> is</w:t>
      </w:r>
      <w:r w:rsidR="009D4719">
        <w:rPr>
          <w:bCs/>
        </w:rPr>
        <w:t xml:space="preserve"> configured with eDRX_Conn cycle</w:t>
      </w:r>
      <w:r w:rsidR="007F5FBA">
        <w:rPr>
          <w:bCs/>
        </w:rPr>
        <w:t>, it</w:t>
      </w:r>
      <w:r w:rsidR="009D4719">
        <w:rPr>
          <w:bCs/>
        </w:rPr>
        <w:t xml:space="preserve"> might take a significant amount of time to evaluate the cell on top of a potentially large GNSS MG.</w:t>
      </w:r>
    </w:p>
    <w:p w14:paraId="44837F83" w14:textId="27B45869" w:rsidR="009D4719" w:rsidRPr="00773851" w:rsidRDefault="009D4719" w:rsidP="007F5FBA">
      <w:r>
        <w:rPr>
          <w:bCs/>
        </w:rPr>
        <w:t xml:space="preserve"> </w:t>
      </w:r>
      <w:r w:rsidRPr="007F5FBA">
        <w:t xml:space="preserve">Consider for example, a UE configured with a eDRX Cycle of 5.12 seconds. The total time to evaluate for this UE according to clause 7.19.2.2 is 26 seconds. If the GNSS-MG is 25 seconds, </w:t>
      </w:r>
      <w:r w:rsidRPr="007F5FBA">
        <w:rPr>
          <w:b/>
          <w:bCs/>
          <w:u w:val="single"/>
        </w:rPr>
        <w:t>the UE might take up to 51 seconds to evaluate the serving cell in an environment that is changing dynamically.</w:t>
      </w:r>
      <w:r w:rsidRPr="007F5FBA">
        <w:t xml:space="preserve"> </w:t>
      </w:r>
      <w:r w:rsidR="004A5607" w:rsidRPr="007F5FBA">
        <w:t xml:space="preserve"> Such long evaluation time is clearly problematic and therefore the UE shall be configured to perform a faster serving cell evaluation after completing the GNSS-MG. This can be achieved by defining a shorter DRX cycle applies.</w:t>
      </w:r>
      <w:r w:rsidR="00237FD6">
        <w:t xml:space="preserve"> </w:t>
      </w:r>
      <w:r>
        <w:t xml:space="preserve">Therefore, we propose: </w:t>
      </w:r>
    </w:p>
    <w:p w14:paraId="7C502639" w14:textId="425268E8" w:rsidR="009D4719" w:rsidRDefault="009D4719" w:rsidP="009D4719">
      <w:pPr>
        <w:pStyle w:val="RAN4proposal"/>
      </w:pPr>
      <w:bookmarkStart w:id="10" w:name="_Toc163500152"/>
      <w:r>
        <w:t>When the UE is configured with eDRX cycle, and the GNSS-MG is larger than the eDRX cycle, the requirements applicable right after the GNSS-MG shall be corresponding to a DRX cycle of [1.28] s.</w:t>
      </w:r>
      <w:bookmarkEnd w:id="10"/>
    </w:p>
    <w:p w14:paraId="1CC5982D" w14:textId="77777777" w:rsidR="00B17558" w:rsidRDefault="00B17558" w:rsidP="00787B98"/>
    <w:p w14:paraId="144C1734" w14:textId="77777777" w:rsidR="00623BA9" w:rsidRDefault="00623BA9" w:rsidP="00623BA9">
      <w:pPr>
        <w:pStyle w:val="RAN4H2"/>
      </w:pPr>
      <w:r>
        <w:t>Connected Mode Measurements</w:t>
      </w:r>
    </w:p>
    <w:p w14:paraId="4622E7C1" w14:textId="77777777" w:rsidR="00623BA9" w:rsidRPr="00087FF8" w:rsidRDefault="00623BA9" w:rsidP="00623BA9">
      <w:pPr>
        <w:pStyle w:val="RAN4H3"/>
      </w:pPr>
      <w:r>
        <w:t>Time-based measurement initiation for NB-IoT</w:t>
      </w:r>
    </w:p>
    <w:p w14:paraId="137B3570" w14:textId="77777777" w:rsidR="00623BA9" w:rsidRDefault="00623BA9" w:rsidP="00623BA9">
      <w:r>
        <w:t xml:space="preserve">In the last meeting, RAN4 has not reached consensus whether the exact time for UE to start measurements should be captured in specifications. </w:t>
      </w:r>
    </w:p>
    <w:tbl>
      <w:tblPr>
        <w:tblStyle w:val="TableGrid"/>
        <w:tblW w:w="0" w:type="auto"/>
        <w:tblLook w:val="04A0" w:firstRow="1" w:lastRow="0" w:firstColumn="1" w:lastColumn="0" w:noHBand="0" w:noVBand="1"/>
      </w:tblPr>
      <w:tblGrid>
        <w:gridCol w:w="9617"/>
      </w:tblGrid>
      <w:tr w:rsidR="00623BA9" w14:paraId="0642ED6A" w14:textId="77777777" w:rsidTr="00623BA9">
        <w:tc>
          <w:tcPr>
            <w:tcW w:w="9617" w:type="dxa"/>
          </w:tcPr>
          <w:p w14:paraId="509AA4CB" w14:textId="77777777" w:rsidR="00623BA9" w:rsidRPr="00944497" w:rsidRDefault="00623BA9" w:rsidP="00623BA9">
            <w:pPr>
              <w:keepNext/>
              <w:keepLines/>
              <w:spacing w:before="120"/>
              <w:outlineLvl w:val="3"/>
              <w:rPr>
                <w:rFonts w:ascii="Arial" w:eastAsia="Times New Roman" w:hAnsi="Arial"/>
                <w:color w:val="4472C4" w:themeColor="accent1"/>
                <w:sz w:val="24"/>
                <w:szCs w:val="18"/>
                <w:lang w:eastAsia="ja-JP"/>
              </w:rPr>
            </w:pPr>
            <w:r w:rsidRPr="00944497">
              <w:rPr>
                <w:rFonts w:ascii="Arial" w:hAnsi="Arial"/>
                <w:sz w:val="24"/>
                <w:szCs w:val="18"/>
                <w:lang w:eastAsia="zh-CN"/>
              </w:rPr>
              <w:t xml:space="preserve">Issue 1-2-2: For NB/eMTC, time-based triggering, the exact time for UE to start the measurement </w:t>
            </w:r>
          </w:p>
          <w:p w14:paraId="57B0DCCE" w14:textId="77777777" w:rsidR="00623BA9" w:rsidRPr="00944497" w:rsidRDefault="00623BA9" w:rsidP="00623BA9">
            <w:pPr>
              <w:rPr>
                <w:rFonts w:eastAsia="PMingLiU"/>
                <w:iCs/>
                <w:lang w:eastAsia="zh-TW"/>
              </w:rPr>
            </w:pPr>
            <w:r w:rsidRPr="00623BA9">
              <w:rPr>
                <w:rFonts w:eastAsia="PMingLiU"/>
                <w:iCs/>
                <w:highlight w:val="cyan"/>
                <w:lang w:eastAsia="zh-TW"/>
              </w:rPr>
              <w:t>no consensus</w:t>
            </w:r>
            <w:r w:rsidRPr="00623BA9">
              <w:rPr>
                <w:highlight w:val="cyan"/>
              </w:rPr>
              <w:t xml:space="preserve"> </w:t>
            </w:r>
            <w:r w:rsidRPr="00623BA9">
              <w:rPr>
                <w:rFonts w:eastAsia="PMingLiU"/>
                <w:iCs/>
                <w:highlight w:val="cyan"/>
                <w:lang w:eastAsia="zh-TW"/>
              </w:rPr>
              <w:t>to capture the exact time for UE to start measurement in RAN4 spec</w:t>
            </w:r>
          </w:p>
          <w:p w14:paraId="1D8B5B86" w14:textId="77777777" w:rsidR="00623BA9" w:rsidRDefault="00623BA9" w:rsidP="00623BA9"/>
        </w:tc>
      </w:tr>
    </w:tbl>
    <w:p w14:paraId="02AF6E77" w14:textId="77777777" w:rsidR="00623BA9" w:rsidRDefault="00623BA9" w:rsidP="00623BA9">
      <w:r>
        <w:t xml:space="preserve"> </w:t>
      </w:r>
    </w:p>
    <w:p w14:paraId="07EE5567" w14:textId="2A3D9965" w:rsidR="00C648BB" w:rsidRDefault="00C648BB" w:rsidP="00623BA9">
      <w:r>
        <w:t>Likewise, the following correspondence was received from RAN2:</w:t>
      </w:r>
    </w:p>
    <w:tbl>
      <w:tblPr>
        <w:tblStyle w:val="TableGrid"/>
        <w:tblW w:w="0" w:type="auto"/>
        <w:tblLook w:val="04A0" w:firstRow="1" w:lastRow="0" w:firstColumn="1" w:lastColumn="0" w:noHBand="0" w:noVBand="1"/>
      </w:tblPr>
      <w:tblGrid>
        <w:gridCol w:w="9617"/>
      </w:tblGrid>
      <w:tr w:rsidR="00C648BB" w14:paraId="65E1B51C" w14:textId="77777777" w:rsidTr="00C648BB">
        <w:tc>
          <w:tcPr>
            <w:tcW w:w="9617" w:type="dxa"/>
          </w:tcPr>
          <w:p w14:paraId="1EEDE870" w14:textId="77777777" w:rsidR="00C648BB" w:rsidRPr="00710377" w:rsidRDefault="00C648BB" w:rsidP="00C648BB">
            <w:pPr>
              <w:pStyle w:val="Header"/>
              <w:jc w:val="both"/>
              <w:rPr>
                <w:rFonts w:ascii="Arial" w:hAnsi="Arial" w:cs="Arial"/>
              </w:rPr>
            </w:pPr>
            <w:r w:rsidRPr="00370268">
              <w:rPr>
                <w:rFonts w:ascii="Arial" w:hAnsi="Arial" w:cs="Arial"/>
              </w:rPr>
              <w:t xml:space="preserve">RAN2 would like to </w:t>
            </w:r>
            <w:r>
              <w:rPr>
                <w:rFonts w:ascii="Arial" w:hAnsi="Arial" w:cs="Arial"/>
              </w:rPr>
              <w:t xml:space="preserve">inform RAN4 about the following relevant agreements made during RAN2#124 on mobility enhancements </w:t>
            </w:r>
            <w:r w:rsidRPr="00567EDF">
              <w:rPr>
                <w:rFonts w:ascii="Arial" w:hAnsi="Arial" w:cs="Arial"/>
              </w:rPr>
              <w:t>for IoT NTN UEs</w:t>
            </w:r>
            <w:r>
              <w:rPr>
                <w:rFonts w:ascii="Arial" w:hAnsi="Arial" w:cs="Arial"/>
              </w:rPr>
              <w:t>:</w:t>
            </w:r>
          </w:p>
          <w:p w14:paraId="27FACE6E" w14:textId="77777777" w:rsidR="00C648BB" w:rsidRPr="00282446" w:rsidRDefault="00C648BB" w:rsidP="00C648BB">
            <w:pPr>
              <w:tabs>
                <w:tab w:val="left" w:pos="1622"/>
              </w:tabs>
              <w:rPr>
                <w:rFonts w:ascii="Arial" w:eastAsia="MS Mincho" w:hAnsi="Arial"/>
                <w:szCs w:val="24"/>
                <w:lang w:val="en-GB" w:eastAsia="en-GB"/>
              </w:rPr>
            </w:pPr>
          </w:p>
          <w:p w14:paraId="5BCE1F36" w14:textId="77777777" w:rsidR="00C648BB" w:rsidRPr="00282446" w:rsidRDefault="00C648BB" w:rsidP="00C648BB">
            <w:pPr>
              <w:numPr>
                <w:ilvl w:val="0"/>
                <w:numId w:val="15"/>
              </w:numPr>
              <w:pBdr>
                <w:top w:val="single" w:sz="4" w:space="1" w:color="auto"/>
                <w:left w:val="single" w:sz="4" w:space="4" w:color="auto"/>
                <w:bottom w:val="single" w:sz="4" w:space="1" w:color="auto"/>
                <w:right w:val="single" w:sz="4" w:space="0" w:color="auto"/>
              </w:pBdr>
              <w:tabs>
                <w:tab w:val="left" w:pos="1622"/>
              </w:tabs>
              <w:spacing w:before="40"/>
              <w:ind w:left="720"/>
              <w:jc w:val="both"/>
              <w:rPr>
                <w:rFonts w:ascii="Arial" w:eastAsia="MS Mincho" w:hAnsi="Arial"/>
                <w:szCs w:val="24"/>
                <w:lang w:val="en-GB" w:eastAsia="en-GB"/>
              </w:rPr>
            </w:pPr>
            <w:r w:rsidRPr="00282446">
              <w:rPr>
                <w:rFonts w:ascii="Arial" w:eastAsia="MS Mincho" w:hAnsi="Arial"/>
                <w:szCs w:val="24"/>
                <w:lang w:val="en-GB" w:eastAsia="en-GB"/>
              </w:rPr>
              <w:lastRenderedPageBreak/>
              <w:t>For NB-IoT NTN, it is up to UE implementation which frequencies to be measured/prioritized in RRC_CONNECTED</w:t>
            </w:r>
          </w:p>
          <w:p w14:paraId="0D903EE0" w14:textId="77777777" w:rsidR="00C648BB" w:rsidRPr="00282446" w:rsidRDefault="00C648BB" w:rsidP="00C648BB">
            <w:pPr>
              <w:numPr>
                <w:ilvl w:val="0"/>
                <w:numId w:val="15"/>
              </w:numPr>
              <w:pBdr>
                <w:top w:val="single" w:sz="4" w:space="1" w:color="auto"/>
                <w:left w:val="single" w:sz="4" w:space="4" w:color="auto"/>
                <w:bottom w:val="single" w:sz="4" w:space="1" w:color="auto"/>
                <w:right w:val="single" w:sz="4" w:space="0" w:color="auto"/>
              </w:pBdr>
              <w:tabs>
                <w:tab w:val="left" w:pos="1622"/>
              </w:tabs>
              <w:spacing w:before="40"/>
              <w:ind w:left="720"/>
              <w:jc w:val="both"/>
              <w:rPr>
                <w:rFonts w:ascii="Arial" w:eastAsia="MS Mincho" w:hAnsi="Arial"/>
                <w:szCs w:val="24"/>
                <w:lang w:val="en-GB" w:eastAsia="en-GB"/>
              </w:rPr>
            </w:pPr>
            <w:r w:rsidRPr="00710377">
              <w:rPr>
                <w:rFonts w:ascii="Arial" w:eastAsia="MS Mincho" w:hAnsi="Arial"/>
                <w:szCs w:val="24"/>
                <w:lang w:val="en-GB" w:eastAsia="en-GB"/>
              </w:rPr>
              <w:t xml:space="preserve">eMTC UEs in NTN should use </w:t>
            </w:r>
            <w:r w:rsidRPr="00710377">
              <w:rPr>
                <w:rFonts w:ascii="Arial" w:eastAsia="MS Mincho" w:hAnsi="Arial"/>
                <w:i/>
                <w:iCs/>
                <w:szCs w:val="24"/>
                <w:lang w:val="en-GB" w:eastAsia="en-GB"/>
              </w:rPr>
              <w:t>MeasObject(s)</w:t>
            </w:r>
            <w:r w:rsidRPr="00710377">
              <w:rPr>
                <w:rFonts w:ascii="Arial" w:eastAsia="MS Mincho" w:hAnsi="Arial"/>
                <w:szCs w:val="24"/>
                <w:lang w:val="en-GB" w:eastAsia="en-GB"/>
              </w:rPr>
              <w:t xml:space="preserve"> for performing measurements based on time/location criteria.</w:t>
            </w:r>
          </w:p>
          <w:p w14:paraId="71C8CC32" w14:textId="77777777" w:rsidR="00C648BB" w:rsidRPr="00282446" w:rsidRDefault="00C648BB" w:rsidP="00C648BB">
            <w:pPr>
              <w:tabs>
                <w:tab w:val="left" w:pos="1622"/>
              </w:tabs>
              <w:ind w:left="1622" w:hanging="363"/>
              <w:rPr>
                <w:rFonts w:ascii="Arial" w:eastAsia="MS Mincho" w:hAnsi="Arial"/>
                <w:szCs w:val="24"/>
                <w:lang w:val="en-GB" w:eastAsia="en-GB"/>
              </w:rPr>
            </w:pPr>
          </w:p>
          <w:p w14:paraId="3F4E9C8A" w14:textId="77777777" w:rsidR="00C648BB" w:rsidRDefault="00C648BB" w:rsidP="00C648BB">
            <w:pPr>
              <w:rPr>
                <w:rFonts w:ascii="Arial" w:hAnsi="Arial" w:cs="Arial"/>
                <w:bCs/>
                <w:color w:val="000000"/>
                <w:szCs w:val="20"/>
                <w:lang w:val="en-GB"/>
              </w:rPr>
            </w:pPr>
            <w:r w:rsidRPr="00603DC5">
              <w:rPr>
                <w:rFonts w:ascii="Arial" w:hAnsi="Arial" w:cs="Arial"/>
                <w:bCs/>
                <w:color w:val="000000"/>
                <w:szCs w:val="20"/>
                <w:lang w:val="en-GB"/>
              </w:rPr>
              <w:t xml:space="preserve">RAN2 kindly asks </w:t>
            </w:r>
            <w:r>
              <w:rPr>
                <w:rFonts w:ascii="Arial" w:hAnsi="Arial" w:cs="Arial"/>
                <w:bCs/>
                <w:color w:val="000000"/>
                <w:szCs w:val="20"/>
                <w:lang w:val="en-GB"/>
              </w:rPr>
              <w:t xml:space="preserve">RAN4 </w:t>
            </w:r>
            <w:r w:rsidRPr="00603DC5">
              <w:rPr>
                <w:rFonts w:ascii="Arial" w:hAnsi="Arial" w:cs="Arial"/>
                <w:bCs/>
                <w:color w:val="000000"/>
                <w:szCs w:val="20"/>
                <w:lang w:val="en-GB"/>
              </w:rPr>
              <w:t>to take the information above into consideration.</w:t>
            </w:r>
          </w:p>
          <w:p w14:paraId="34777574" w14:textId="77777777" w:rsidR="00C648BB" w:rsidRPr="00C648BB" w:rsidRDefault="00C648BB" w:rsidP="00623BA9">
            <w:pPr>
              <w:rPr>
                <w:lang w:val="en-GB"/>
              </w:rPr>
            </w:pPr>
          </w:p>
        </w:tc>
      </w:tr>
    </w:tbl>
    <w:p w14:paraId="663129A5" w14:textId="77777777" w:rsidR="00C648BB" w:rsidRDefault="00C648BB" w:rsidP="00623BA9"/>
    <w:p w14:paraId="5B44A564" w14:textId="1A3ADBC5" w:rsidR="00C648BB" w:rsidRDefault="00C648BB" w:rsidP="00623BA9">
      <w:r>
        <w:t xml:space="preserve">Because of this, we need to revise the specification text in order to capture the RAN2 decision that it is up to UE implementation which frequencies to be “measured/prioritized” in RRC_Connected. </w:t>
      </w:r>
    </w:p>
    <w:p w14:paraId="2DBD6B4F" w14:textId="19B8BBE0" w:rsidR="00C648BB" w:rsidRDefault="00C648BB" w:rsidP="00C648BB">
      <w:pPr>
        <w:pStyle w:val="RAN4proposal"/>
      </w:pPr>
      <w:bookmarkStart w:id="11" w:name="_Toc163500153"/>
      <w:r>
        <w:t>Capture in specification that for NB-IoT it is up for UE implementation which frequencies to be measured/prioritized in RRC_CONNECTED.</w:t>
      </w:r>
      <w:bookmarkEnd w:id="11"/>
      <w:r>
        <w:t xml:space="preserve"> </w:t>
      </w:r>
    </w:p>
    <w:p w14:paraId="13873695" w14:textId="0DDC6613" w:rsidR="00623BA9" w:rsidRDefault="00623BA9" w:rsidP="00623BA9">
      <w:r>
        <w:t xml:space="preserve">Therefore, it is important for RAN4 to decide whether there will be or not a exact time for starting the measurements,  the most obvious time-based trigger is given by t-service, but as RAN2 indicates in their agreements, measurements shall be initiated before t-service, as it is already too late to start measurements when the serving cell is gone (RLF procedure is triggered). Therefore, the measurements should be started before t-service, but not too early, </w:t>
      </w:r>
      <w:r w:rsidRPr="00472567">
        <w:rPr>
          <w:u w:val="single"/>
        </w:rPr>
        <w:t>to avoid UE wasting its power</w:t>
      </w:r>
      <w:r>
        <w:t xml:space="preserve">.  </w:t>
      </w:r>
    </w:p>
    <w:p w14:paraId="0AF6DA5E" w14:textId="3D0505A1" w:rsidR="004D3E0F" w:rsidRDefault="004D3E0F" w:rsidP="004D3E0F">
      <w:r>
        <w:t xml:space="preserve">So, a potential idea to circumvent this limitation would be to choose a second point in time X seconds before t-service. </w:t>
      </w:r>
      <w:r w:rsidR="00235C40">
        <w:t>It is not possible to choose a point such that the factor “X” is defined in function of the time needed to complete measurements. The reason is that the f</w:t>
      </w:r>
      <w:r>
        <w:t xml:space="preserve">ormula provided in Clause 8.14A.6.4 </w:t>
      </w:r>
      <w:r w:rsidR="00235C40">
        <w:t xml:space="preserve">depends on variable measurement opportunities that are leveraged on a “best-effort” approach by the UE. It is not possible to determine beforehand when the measurements will be completed. </w:t>
      </w:r>
    </w:p>
    <w:p w14:paraId="4CEFEB11" w14:textId="4B34DD35" w:rsidR="00235C40" w:rsidRDefault="004D3E0F" w:rsidP="004D3E0F">
      <w:r>
        <w:t>However, as previously discussed, it is convenient to consider the adoption of t-serviceStart as a reference point to start the neighbor cell measurements, in order to avoid waste of UE power</w:t>
      </w:r>
      <w:r w:rsidR="00235C40">
        <w:t>:</w:t>
      </w:r>
    </w:p>
    <w:p w14:paraId="7CFD9ED0" w14:textId="4B62259A" w:rsidR="00235C40" w:rsidRDefault="00235C40" w:rsidP="00235C40">
      <w:pPr>
        <w:pStyle w:val="ListParagraph"/>
        <w:numPr>
          <w:ilvl w:val="0"/>
          <w:numId w:val="16"/>
        </w:numPr>
      </w:pPr>
      <w:r>
        <w:t>If t-serviceStart is provided, the UE knows not to start the measurement before t-serviceStart, and if t-serviceStart is close enough to t-service (not to trigger very early measurements), the UE should start measurements already at t-serviceStart.</w:t>
      </w:r>
    </w:p>
    <w:p w14:paraId="0D4EA097" w14:textId="11F358A7" w:rsidR="00235C40" w:rsidRDefault="00235C40" w:rsidP="00235C40">
      <w:pPr>
        <w:pStyle w:val="ListParagraph"/>
        <w:numPr>
          <w:ilvl w:val="0"/>
          <w:numId w:val="16"/>
        </w:numPr>
      </w:pPr>
      <w:r>
        <w:t>However, if t-serviceStart is provided, but a long time before t-service, in order to save UE power, the determination of the measurement initiation might be based on the number of DRX cycles before t-service:</w:t>
      </w:r>
    </w:p>
    <w:p w14:paraId="6CDD71CD" w14:textId="77777777" w:rsidR="004D3E0F" w:rsidRPr="00623BA9" w:rsidRDefault="004D3E0F" w:rsidP="004D3E0F"/>
    <w:p w14:paraId="5415131E" w14:textId="77777777" w:rsidR="00623BA9" w:rsidRDefault="00623BA9" w:rsidP="00623BA9">
      <w:pPr>
        <w:pStyle w:val="RAN4proposal"/>
      </w:pPr>
      <w:bookmarkStart w:id="12" w:name="_Toc163500154"/>
      <w:r>
        <w:t>NB-IoT UE shall start time-based neighbor cell measurements:</w:t>
      </w:r>
      <w:bookmarkEnd w:id="12"/>
    </w:p>
    <w:p w14:paraId="478B5877" w14:textId="68B20BE1" w:rsidR="00623BA9" w:rsidRDefault="00623BA9" w:rsidP="00623BA9">
      <w:pPr>
        <w:pStyle w:val="RAN4proposal"/>
        <w:numPr>
          <w:ilvl w:val="1"/>
          <w:numId w:val="3"/>
        </w:numPr>
      </w:pPr>
      <w:bookmarkStart w:id="13" w:name="_Toc163500155"/>
      <w:r>
        <w:t xml:space="preserve">If no t-serviceStartNeigh is provided, </w:t>
      </w:r>
      <w:r w:rsidR="00235C40" w:rsidRPr="005F0868">
        <w:t>[Y] DRX Cycles</w:t>
      </w:r>
      <w:r w:rsidR="00235C40">
        <w:t xml:space="preserve"> before t-service</w:t>
      </w:r>
      <w:bookmarkEnd w:id="13"/>
    </w:p>
    <w:p w14:paraId="47CD9CA8" w14:textId="77777777" w:rsidR="00623BA9" w:rsidRDefault="00623BA9" w:rsidP="00623BA9">
      <w:pPr>
        <w:pStyle w:val="RAN4proposal"/>
        <w:numPr>
          <w:ilvl w:val="1"/>
          <w:numId w:val="3"/>
        </w:numPr>
      </w:pPr>
      <w:bookmarkStart w:id="14" w:name="_Toc163500156"/>
      <w:r>
        <w:t xml:space="preserve">If t-serviceStartNeigh is provided for the neighbor cells, measurements shall start at </w:t>
      </w:r>
      <w:r w:rsidRPr="005F0868">
        <w:t>tinitiate_inter = m</w:t>
      </w:r>
      <w:r>
        <w:t>in</w:t>
      </w:r>
      <w:r w:rsidRPr="005F0868">
        <w:t>( [Y] DRX Cycles, tService-tServiceStart</w:t>
      </w:r>
      <w:r>
        <w:t>Neigh</w:t>
      </w:r>
      <w:r w:rsidRPr="005F0868">
        <w:t>) before</w:t>
      </w:r>
      <w:r>
        <w:t xml:space="preserve"> t-service</w:t>
      </w:r>
      <w:bookmarkEnd w:id="14"/>
    </w:p>
    <w:p w14:paraId="19C4CDD5" w14:textId="77777777" w:rsidR="00623BA9" w:rsidRDefault="00623BA9" w:rsidP="00623BA9"/>
    <w:p w14:paraId="1265BC49" w14:textId="0BADD537" w:rsidR="00FC2298" w:rsidRDefault="00FC2298" w:rsidP="00FC2298">
      <w:pPr>
        <w:pStyle w:val="RAN4H2"/>
      </w:pPr>
      <w:r>
        <w:t>Idle Mode Measurements</w:t>
      </w:r>
    </w:p>
    <w:p w14:paraId="507CBB13" w14:textId="77777777" w:rsidR="00FC2298" w:rsidRDefault="00FC2298" w:rsidP="00FC2298">
      <w:r>
        <w:t>RAN2 has recently decided to fasten the procedures for the UE to land on a different cell, when t-service expires and the current serving cell is not available anymore:</w:t>
      </w:r>
    </w:p>
    <w:tbl>
      <w:tblPr>
        <w:tblStyle w:val="TableGrid"/>
        <w:tblW w:w="0" w:type="auto"/>
        <w:tblLook w:val="04A0" w:firstRow="1" w:lastRow="0" w:firstColumn="1" w:lastColumn="0" w:noHBand="0" w:noVBand="1"/>
      </w:tblPr>
      <w:tblGrid>
        <w:gridCol w:w="9617"/>
      </w:tblGrid>
      <w:tr w:rsidR="00FC2298" w14:paraId="37B6CD11" w14:textId="77777777" w:rsidTr="00671430">
        <w:tc>
          <w:tcPr>
            <w:tcW w:w="9617" w:type="dxa"/>
          </w:tcPr>
          <w:p w14:paraId="5C21B0CD" w14:textId="77777777" w:rsidR="00FC2298" w:rsidRPr="00EC34B5" w:rsidRDefault="00FC2298" w:rsidP="00671430">
            <w:pPr>
              <w:rPr>
                <w:b/>
                <w:bCs/>
                <w:u w:val="single"/>
              </w:rPr>
            </w:pPr>
            <w:r w:rsidRPr="00EC34B5">
              <w:rPr>
                <w:b/>
                <w:bCs/>
                <w:u w:val="single"/>
              </w:rPr>
              <w:t>Agreements on RAN2 #12</w:t>
            </w:r>
            <w:r>
              <w:rPr>
                <w:b/>
                <w:bCs/>
                <w:u w:val="single"/>
              </w:rPr>
              <w:t>2</w:t>
            </w:r>
          </w:p>
          <w:p w14:paraId="13888DB4" w14:textId="77777777" w:rsidR="00FC2298" w:rsidRDefault="00FC2298" w:rsidP="00671430">
            <w:r>
              <w:t>2.</w:t>
            </w:r>
            <w:r>
              <w:tab/>
              <w:t>If the serving cell t-service expires, stop T310 (if running) and start T311 (i.e. perform cell search and re-establishment without attempting to recover on the current cell for the duration of T310). FFS on discontinuous coverage</w:t>
            </w:r>
          </w:p>
          <w:p w14:paraId="78B0F513" w14:textId="77777777" w:rsidR="00FC2298" w:rsidRDefault="00FC2298" w:rsidP="00671430">
            <w:pPr>
              <w:pStyle w:val="RAN4H3"/>
              <w:numPr>
                <w:ilvl w:val="0"/>
                <w:numId w:val="0"/>
              </w:numPr>
            </w:pPr>
          </w:p>
        </w:tc>
      </w:tr>
    </w:tbl>
    <w:p w14:paraId="7AE5E60E" w14:textId="77777777" w:rsidR="00FC2298" w:rsidRDefault="00FC2298" w:rsidP="00FC2298"/>
    <w:p w14:paraId="60B7A1F7" w14:textId="77777777" w:rsidR="00FC2298" w:rsidRDefault="00FC2298" w:rsidP="00FC2298">
      <w:r>
        <w:t xml:space="preserve">The idea from RAN2 is that the UE can speed up the process by knowing that the current serving cell is not available after t-service. </w:t>
      </w:r>
    </w:p>
    <w:p w14:paraId="7FCD7CBC" w14:textId="77777777" w:rsidR="00FC2298" w:rsidRDefault="00FC2298" w:rsidP="00FC2298">
      <w:pPr>
        <w:rPr>
          <w:lang w:val="en-GB"/>
        </w:rPr>
      </w:pPr>
      <w:r>
        <w:rPr>
          <w:lang w:val="en-GB"/>
        </w:rPr>
        <w:lastRenderedPageBreak/>
        <w:t xml:space="preserve">Regardless of whether the conditions of the serving cell right before </w:t>
      </w:r>
      <w:r w:rsidRPr="008021B0">
        <w:rPr>
          <w:i/>
          <w:iCs/>
          <w:lang w:val="en-GB"/>
        </w:rPr>
        <w:t>t-service</w:t>
      </w:r>
      <w:r>
        <w:rPr>
          <w:lang w:val="en-GB"/>
        </w:rPr>
        <w:t xml:space="preserve"> are good or bad, the UE knows (by the configuration of t-service) that the serving cell will disappear </w:t>
      </w:r>
      <w:r w:rsidRPr="00516E3B">
        <w:rPr>
          <w:b/>
          <w:bCs/>
          <w:u w:val="single"/>
          <w:lang w:val="en-GB"/>
        </w:rPr>
        <w:t xml:space="preserve">at </w:t>
      </w:r>
      <w:r w:rsidRPr="00516E3B">
        <w:rPr>
          <w:b/>
          <w:bCs/>
          <w:i/>
          <w:iCs/>
          <w:u w:val="single"/>
          <w:lang w:val="en-GB"/>
        </w:rPr>
        <w:t>t-service</w:t>
      </w:r>
      <w:r>
        <w:rPr>
          <w:i/>
          <w:iCs/>
          <w:lang w:val="en-GB"/>
        </w:rPr>
        <w:t xml:space="preserve">. </w:t>
      </w:r>
      <w:r>
        <w:rPr>
          <w:lang w:val="en-GB"/>
        </w:rPr>
        <w:t xml:space="preserve">Based on the average scenario it is even more likely that the conditions on the serving cell </w:t>
      </w:r>
      <w:r w:rsidRPr="00134998">
        <w:rPr>
          <w:b/>
          <w:bCs/>
          <w:lang w:val="en-GB"/>
        </w:rPr>
        <w:t>are good</w:t>
      </w:r>
      <w:r>
        <w:rPr>
          <w:lang w:val="en-GB"/>
        </w:rPr>
        <w:t xml:space="preserve"> before the cell is discontinued.  Any last effort to collect serving cell measurements are not unnecessary, but it might hurt the timely cell reselection. This scenario is depicted in Figure 1.  In this figure, we show a scenario where the neighbor cell measurements are triggered by Ttrigger. The received power level from the serving cell is still in good conditions, and might even be above any of the neighbor cells (as depicted). If that’s the case, the UE will not perform cell reselection upon t-service, as the UE will rank the serving cell as very high. Only T</w:t>
      </w:r>
      <w:r w:rsidRPr="004E16C1">
        <w:rPr>
          <w:vertAlign w:val="subscript"/>
          <w:lang w:val="en-GB"/>
        </w:rPr>
        <w:t>evaluate</w:t>
      </w:r>
      <w:r>
        <w:rPr>
          <w:lang w:val="en-GB"/>
        </w:rPr>
        <w:t xml:space="preserve"> seconds after the last sample before t-service the UE will be required to perform the cell reselection. </w:t>
      </w:r>
    </w:p>
    <w:p w14:paraId="093729BE" w14:textId="77777777" w:rsidR="00FC2298" w:rsidRDefault="00FC2298" w:rsidP="00FC2298">
      <w:pPr>
        <w:keepNext/>
        <w:jc w:val="center"/>
      </w:pPr>
      <w:r>
        <w:rPr>
          <w:noProof/>
          <w:lang w:val="en-GB"/>
        </w:rPr>
        <w:drawing>
          <wp:inline distT="0" distB="0" distL="0" distR="0" wp14:anchorId="5DB65D1D" wp14:editId="381F1214">
            <wp:extent cx="5468439" cy="2689048"/>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bwMode="auto">
                    <a:xfrm>
                      <a:off x="0" y="0"/>
                      <a:ext cx="5468439" cy="2689048"/>
                    </a:xfrm>
                    <a:prstGeom prst="rect">
                      <a:avLst/>
                    </a:prstGeom>
                  </pic:spPr>
                </pic:pic>
              </a:graphicData>
            </a:graphic>
          </wp:inline>
        </w:drawing>
      </w:r>
    </w:p>
    <w:p w14:paraId="244911CD" w14:textId="77777777" w:rsidR="00FC2298" w:rsidRDefault="00FC2298" w:rsidP="00FC2298">
      <w:pPr>
        <w:pStyle w:val="Caption"/>
        <w:jc w:val="left"/>
      </w:pPr>
      <w:r>
        <w:t xml:space="preserve">Figure </w:t>
      </w:r>
      <w:r w:rsidR="00240D3B">
        <w:fldChar w:fldCharType="begin"/>
      </w:r>
      <w:r w:rsidR="00240D3B">
        <w:instrText xml:space="preserve"> SEQ Figure \* ARABIC </w:instrText>
      </w:r>
      <w:r w:rsidR="00240D3B">
        <w:fldChar w:fldCharType="separate"/>
      </w:r>
      <w:r>
        <w:rPr>
          <w:noProof/>
        </w:rPr>
        <w:t>1</w:t>
      </w:r>
      <w:r w:rsidR="00240D3B">
        <w:rPr>
          <w:noProof/>
        </w:rPr>
        <w:fldChar w:fldCharType="end"/>
      </w:r>
      <w:r w:rsidRPr="009D2D7E">
        <w:t xml:space="preserve"> </w:t>
      </w:r>
      <w:r>
        <w:t>The presence of good serving cell measurements (blue), better than neighbor cell measurements (green), before t-service, will delay the cell reselection at the UE side, even though the UE has full knowledge of the disappearance of the serving cell.</w:t>
      </w:r>
    </w:p>
    <w:p w14:paraId="223CACA8" w14:textId="77777777" w:rsidR="00FC2298" w:rsidRDefault="00FC2298" w:rsidP="00FC2298">
      <w:pPr>
        <w:pStyle w:val="RAN4H3"/>
        <w:numPr>
          <w:ilvl w:val="0"/>
          <w:numId w:val="0"/>
        </w:numPr>
        <w:rPr>
          <w:lang w:val="en-GB"/>
        </w:rPr>
      </w:pPr>
    </w:p>
    <w:p w14:paraId="0CB871F1" w14:textId="77777777" w:rsidR="00FC2298" w:rsidRDefault="00FC2298" w:rsidP="00FC2298">
      <w:pPr>
        <w:rPr>
          <w:lang w:val="en-GB"/>
        </w:rPr>
      </w:pPr>
      <w:r>
        <w:rPr>
          <w:lang w:val="en-GB"/>
        </w:rPr>
        <w:t xml:space="preserve">Based on this analysis, if the neighbor cell measurements is not triggered by radio conditions (S-criteria), but the measurements are initiated by the time-based trigger (t-service), the UE should not be required to perform measurements towards the serving cell, whenever this leads to a smaller value of K_satellite (no other cells are configured for measurement on the same serving satellite). This would cause the UE to trigger a faster cell reselection or a faster cell search. </w:t>
      </w:r>
    </w:p>
    <w:p w14:paraId="1AF7D3EA" w14:textId="0534DED2" w:rsidR="00FC2298" w:rsidRDefault="00FC2298" w:rsidP="00FC2298">
      <w:pPr>
        <w:pStyle w:val="RAN4proposal"/>
        <w:rPr>
          <w:lang w:val="en-GB"/>
        </w:rPr>
      </w:pPr>
      <w:bookmarkStart w:id="15" w:name="_Toc149938145"/>
      <w:bookmarkStart w:id="16" w:name="_Toc163500157"/>
      <w:r>
        <w:rPr>
          <w:lang w:val="en-GB"/>
        </w:rPr>
        <w:t xml:space="preserve">When a UE starts </w:t>
      </w:r>
      <w:r w:rsidR="004C532A">
        <w:rPr>
          <w:lang w:val="en-GB"/>
        </w:rPr>
        <w:t xml:space="preserve">intra-frequency </w:t>
      </w:r>
      <w:r>
        <w:rPr>
          <w:lang w:val="en-GB"/>
        </w:rPr>
        <w:t>neighbor cell measurements based on time-based measurement initiation (e.g. T</w:t>
      </w:r>
      <w:r w:rsidRPr="00E8568A">
        <w:rPr>
          <w:vertAlign w:val="subscript"/>
          <w:lang w:val="en-GB"/>
        </w:rPr>
        <w:t>trigger</w:t>
      </w:r>
      <w:r>
        <w:rPr>
          <w:lang w:val="en-GB"/>
        </w:rPr>
        <w:t xml:space="preserve"> before t-service), the UE skips the serving cell measurements when the following side conditions are met:</w:t>
      </w:r>
      <w:bookmarkEnd w:id="15"/>
      <w:bookmarkEnd w:id="16"/>
    </w:p>
    <w:p w14:paraId="308975AD" w14:textId="77777777" w:rsidR="00FC2298" w:rsidRDefault="00FC2298" w:rsidP="00FC2298">
      <w:pPr>
        <w:pStyle w:val="RAN4proposal"/>
        <w:numPr>
          <w:ilvl w:val="1"/>
          <w:numId w:val="3"/>
        </w:numPr>
        <w:rPr>
          <w:lang w:val="en-GB"/>
        </w:rPr>
      </w:pPr>
      <w:bookmarkStart w:id="17" w:name="_Toc149938146"/>
      <w:bookmarkStart w:id="18" w:name="_Toc163500158"/>
      <w:r>
        <w:rPr>
          <w:lang w:val="en-GB"/>
        </w:rPr>
        <w:t>When skipping serving cell measurements reduces the value of Ksatellite (i.e. no neighbor cell is configured for measurements in the same satellite as the serving cell)</w:t>
      </w:r>
      <w:bookmarkEnd w:id="17"/>
      <w:bookmarkEnd w:id="18"/>
    </w:p>
    <w:p w14:paraId="24743422" w14:textId="77777777" w:rsidR="00FC2298" w:rsidRPr="00E708A3" w:rsidRDefault="00FC2298" w:rsidP="00FC2298">
      <w:pPr>
        <w:pStyle w:val="RAN4proposal"/>
        <w:numPr>
          <w:ilvl w:val="1"/>
          <w:numId w:val="3"/>
        </w:numPr>
        <w:rPr>
          <w:lang w:val="en-GB"/>
        </w:rPr>
      </w:pPr>
      <w:bookmarkStart w:id="19" w:name="_Toc149938147"/>
      <w:bookmarkStart w:id="20" w:name="_Toc163500159"/>
      <w:r>
        <w:rPr>
          <w:lang w:val="en-GB"/>
        </w:rPr>
        <w:t>The S-Criterion is still met by the serving cell, according to the most recent measurements on the serving cell.</w:t>
      </w:r>
      <w:bookmarkEnd w:id="19"/>
      <w:bookmarkEnd w:id="20"/>
      <w:r>
        <w:rPr>
          <w:lang w:val="en-GB"/>
        </w:rPr>
        <w:t xml:space="preserve"> </w:t>
      </w:r>
    </w:p>
    <w:p w14:paraId="1900BE5E" w14:textId="77777777" w:rsidR="00FC2298" w:rsidRDefault="00FC2298" w:rsidP="00FC2298">
      <w:pPr>
        <w:pStyle w:val="RAN4proposal"/>
        <w:numPr>
          <w:ilvl w:val="1"/>
          <w:numId w:val="3"/>
        </w:numPr>
        <w:rPr>
          <w:lang w:val="en-GB"/>
        </w:rPr>
      </w:pPr>
      <w:bookmarkStart w:id="21" w:name="_Toc149938148"/>
      <w:bookmarkStart w:id="22" w:name="_Toc163500160"/>
      <w:r>
        <w:rPr>
          <w:lang w:val="en-GB"/>
        </w:rPr>
        <w:t>If those conditions are met, the UE is allowed to use the last value for the serving cell measurements for cell reselection purpose until t-service is reached.</w:t>
      </w:r>
      <w:bookmarkEnd w:id="21"/>
      <w:bookmarkEnd w:id="22"/>
      <w:r>
        <w:rPr>
          <w:lang w:val="en-GB"/>
        </w:rPr>
        <w:t xml:space="preserve"> </w:t>
      </w:r>
    </w:p>
    <w:p w14:paraId="54E23229" w14:textId="77777777" w:rsidR="00342802" w:rsidRDefault="00342802" w:rsidP="00342802">
      <w:pPr>
        <w:rPr>
          <w:lang w:val="en-GB"/>
        </w:rPr>
      </w:pPr>
    </w:p>
    <w:p w14:paraId="47B2ACE0" w14:textId="1BE05E77" w:rsidR="004C532A" w:rsidRDefault="004C532A" w:rsidP="00342802">
      <w:pPr>
        <w:rPr>
          <w:lang w:val="en-GB"/>
        </w:rPr>
      </w:pPr>
      <w:r>
        <w:rPr>
          <w:lang w:val="en-GB"/>
        </w:rPr>
        <w:t xml:space="preserve">Likewise, for inter-frequency measurements, there is no benefit for the UE to perform measurements in a soon-to-disappear cell related to the current serving satellite. </w:t>
      </w:r>
    </w:p>
    <w:p w14:paraId="5B6C965A" w14:textId="027AA990" w:rsidR="004C532A" w:rsidRDefault="004C532A" w:rsidP="000D108E">
      <w:pPr>
        <w:pStyle w:val="RAN4proposal"/>
        <w:rPr>
          <w:lang w:val="en-GB"/>
        </w:rPr>
      </w:pPr>
      <w:bookmarkStart w:id="23" w:name="_Toc163500161"/>
      <w:r>
        <w:rPr>
          <w:lang w:val="en-GB"/>
        </w:rPr>
        <w:t>When a UE starts inter-frequency neighbor cell measurements based on time-based measurement initiation (e.g. T</w:t>
      </w:r>
      <w:r w:rsidRPr="00E8568A">
        <w:rPr>
          <w:vertAlign w:val="subscript"/>
          <w:lang w:val="en-GB"/>
        </w:rPr>
        <w:t>trigger</w:t>
      </w:r>
      <w:r>
        <w:rPr>
          <w:lang w:val="en-GB"/>
        </w:rPr>
        <w:t xml:space="preserve"> before t-service), </w:t>
      </w:r>
      <w:r w:rsidR="000D108E">
        <w:rPr>
          <w:lang w:val="en-GB"/>
        </w:rPr>
        <w:t>and the inter-frequency neighbor cells associated to the same satellite are also configured with t-Service, then the UE is not required to measure these cells.</w:t>
      </w:r>
      <w:bookmarkEnd w:id="23"/>
      <w:r w:rsidR="000D108E">
        <w:rPr>
          <w:lang w:val="en-GB"/>
        </w:rPr>
        <w:t xml:space="preserve"> </w:t>
      </w:r>
    </w:p>
    <w:p w14:paraId="287AC1DE" w14:textId="77777777" w:rsidR="004C532A" w:rsidRDefault="004C532A" w:rsidP="00342802">
      <w:pPr>
        <w:rPr>
          <w:lang w:val="en-GB"/>
        </w:rPr>
      </w:pPr>
    </w:p>
    <w:p w14:paraId="4C93D099" w14:textId="77777777" w:rsidR="00FC2298" w:rsidRDefault="00FC2298" w:rsidP="00FC2298">
      <w:pPr>
        <w:pStyle w:val="RAN4proposal"/>
        <w:numPr>
          <w:ilvl w:val="0"/>
          <w:numId w:val="0"/>
        </w:numPr>
        <w:ind w:left="1080"/>
      </w:pPr>
    </w:p>
    <w:p w14:paraId="66AC2180" w14:textId="77777777" w:rsidR="0060543D" w:rsidRPr="008C39F7" w:rsidRDefault="0060543D" w:rsidP="0060543D"/>
    <w:p w14:paraId="748E2482" w14:textId="77777777" w:rsidR="00CD7492" w:rsidRPr="008C39F7" w:rsidRDefault="00CD7492" w:rsidP="00A37002">
      <w:pPr>
        <w:pStyle w:val="RAN4H1"/>
      </w:pPr>
      <w:bookmarkStart w:id="24" w:name="_Toc116995848"/>
      <w:r w:rsidRPr="008C39F7">
        <w:t>Conclusion</w:t>
      </w:r>
      <w:bookmarkEnd w:id="24"/>
    </w:p>
    <w:p w14:paraId="149D0BDA" w14:textId="2FB90F4D" w:rsidR="007C5971" w:rsidRPr="008C39F7" w:rsidRDefault="0023526B" w:rsidP="005C23A4">
      <w:r w:rsidRPr="0023526B">
        <w:t>The paper has discussed the work item on enhancements of IoT/eMTC NTN deployments in special in what regards mobility aspects. The following observations and proposals are presented as an outcome of the discussions above:</w:t>
      </w:r>
    </w:p>
    <w:bookmarkStart w:id="25" w:name="_Toc116995849"/>
    <w:p w14:paraId="7B72D8A9" w14:textId="6C1423FB" w:rsidR="00826447" w:rsidRDefault="00545190">
      <w:pPr>
        <w:pStyle w:val="TOC1"/>
        <w:rPr>
          <w:rFonts w:asciiTheme="minorHAnsi" w:eastAsiaTheme="minorEastAsia" w:hAnsiTheme="minorHAnsi"/>
          <w:b w:val="0"/>
          <w:iCs w:val="0"/>
          <w:kern w:val="2"/>
          <w:sz w:val="22"/>
          <w:lang w:val="en-GB" w:eastAsia="en-GB"/>
          <w14:ligatures w14:val="standardContextual"/>
        </w:rPr>
      </w:pPr>
      <w:r>
        <w:fldChar w:fldCharType="begin"/>
      </w:r>
      <w:r>
        <w:instrText xml:space="preserve"> TOC \n \h \z \t "RAN4 proposal;1;RAN4 observation;1" </w:instrText>
      </w:r>
      <w:r>
        <w:fldChar w:fldCharType="separate"/>
      </w:r>
      <w:hyperlink w:anchor="_Toc163500148" w:history="1">
        <w:r w:rsidR="00826447" w:rsidRPr="00B10824">
          <w:rPr>
            <w:rStyle w:val="Hyperlink"/>
          </w:rPr>
          <w:t>Observation 1: As GNSS-MG are expected to be frequently configured and triggered, current specification would ensue in frequently having non-applicable requirements for RLM.</w:t>
        </w:r>
      </w:hyperlink>
    </w:p>
    <w:p w14:paraId="7FEED64F" w14:textId="52571B0B" w:rsidR="00826447" w:rsidRDefault="00A90A81">
      <w:pPr>
        <w:pStyle w:val="TOC1"/>
        <w:rPr>
          <w:rFonts w:asciiTheme="minorHAnsi" w:eastAsiaTheme="minorEastAsia" w:hAnsiTheme="minorHAnsi"/>
          <w:b w:val="0"/>
          <w:iCs w:val="0"/>
          <w:kern w:val="2"/>
          <w:sz w:val="22"/>
          <w:lang w:val="en-GB" w:eastAsia="en-GB"/>
          <w14:ligatures w14:val="standardContextual"/>
        </w:rPr>
      </w:pPr>
      <w:hyperlink w:anchor="_Toc163500149" w:history="1">
        <w:r w:rsidR="00826447" w:rsidRPr="00B10824">
          <w:rPr>
            <w:rStyle w:val="Hyperlink"/>
          </w:rPr>
          <w:t>Observation 2: In many situations, when eDRX is configured</w:t>
        </w:r>
        <w:r w:rsidR="00826447" w:rsidRPr="00B10824">
          <w:rPr>
            <w:rStyle w:val="Hyperlink"/>
            <w:bCs/>
          </w:rPr>
          <w:t>, there is no need</w:t>
        </w:r>
        <w:r w:rsidR="00826447" w:rsidRPr="00B10824">
          <w:rPr>
            <w:rStyle w:val="Hyperlink"/>
          </w:rPr>
          <w:t xml:space="preserve"> to have additional time for the UE to enlarge the RLM measurement delay.</w:t>
        </w:r>
      </w:hyperlink>
    </w:p>
    <w:p w14:paraId="08A08BEA" w14:textId="3369F937" w:rsidR="00826447" w:rsidRDefault="00A90A81">
      <w:pPr>
        <w:pStyle w:val="TOC1"/>
        <w:rPr>
          <w:rFonts w:asciiTheme="minorHAnsi" w:eastAsiaTheme="minorEastAsia" w:hAnsiTheme="minorHAnsi"/>
          <w:b w:val="0"/>
          <w:iCs w:val="0"/>
          <w:kern w:val="2"/>
          <w:sz w:val="22"/>
          <w:lang w:val="en-GB" w:eastAsia="en-GB"/>
          <w14:ligatures w14:val="standardContextual"/>
        </w:rPr>
      </w:pPr>
      <w:hyperlink w:anchor="_Toc163500150" w:history="1">
        <w:r w:rsidR="00826447" w:rsidRPr="00B10824">
          <w:rPr>
            <w:rStyle w:val="Hyperlink"/>
          </w:rPr>
          <w:t>Proposal 1: Refine the specification text such that, for the cases where the GNSS-MG is smaller than the eDRX cycle, the RLM requirements are still applicable.</w:t>
        </w:r>
      </w:hyperlink>
    </w:p>
    <w:p w14:paraId="12244330" w14:textId="70EDD823" w:rsidR="00826447" w:rsidRDefault="00A90A81">
      <w:pPr>
        <w:pStyle w:val="TOC1"/>
        <w:rPr>
          <w:rFonts w:asciiTheme="minorHAnsi" w:eastAsiaTheme="minorEastAsia" w:hAnsiTheme="minorHAnsi"/>
          <w:b w:val="0"/>
          <w:iCs w:val="0"/>
          <w:kern w:val="2"/>
          <w:sz w:val="22"/>
          <w:lang w:val="en-GB" w:eastAsia="en-GB"/>
          <w14:ligatures w14:val="standardContextual"/>
        </w:rPr>
      </w:pPr>
      <w:hyperlink w:anchor="_Toc163500151" w:history="1">
        <w:r w:rsidR="00826447" w:rsidRPr="00B10824">
          <w:rPr>
            <w:rStyle w:val="Hyperlink"/>
          </w:rPr>
          <w:t>Proposal 2: When the GNSS-MG is shorter than the (e)DRX cycle and it collides with the on Duration part of one (e)DRX cycle, the time to evaluate requirements might be extended.</w:t>
        </w:r>
      </w:hyperlink>
    </w:p>
    <w:p w14:paraId="14323E3D" w14:textId="0F527D1B" w:rsidR="00826447" w:rsidRDefault="00A90A81">
      <w:pPr>
        <w:pStyle w:val="TOC1"/>
        <w:rPr>
          <w:rFonts w:asciiTheme="minorHAnsi" w:eastAsiaTheme="minorEastAsia" w:hAnsiTheme="minorHAnsi"/>
          <w:b w:val="0"/>
          <w:iCs w:val="0"/>
          <w:kern w:val="2"/>
          <w:sz w:val="22"/>
          <w:lang w:val="en-GB" w:eastAsia="en-GB"/>
          <w14:ligatures w14:val="standardContextual"/>
        </w:rPr>
      </w:pPr>
      <w:hyperlink w:anchor="_Toc163500152" w:history="1">
        <w:r w:rsidR="00826447" w:rsidRPr="00B10824">
          <w:rPr>
            <w:rStyle w:val="Hyperlink"/>
          </w:rPr>
          <w:t>Proposal 3: When the UE is configured with eDRX cycle, and the GNSS-MG is larger than the eDRX cycle, the requirements applicable right after the GNSS-MG shall be corresponding to a DRX cycle of [1.28] s.</w:t>
        </w:r>
      </w:hyperlink>
    </w:p>
    <w:p w14:paraId="668A6DAB" w14:textId="20126D7C" w:rsidR="00826447" w:rsidRDefault="00A90A81">
      <w:pPr>
        <w:pStyle w:val="TOC1"/>
        <w:rPr>
          <w:rFonts w:asciiTheme="minorHAnsi" w:eastAsiaTheme="minorEastAsia" w:hAnsiTheme="minorHAnsi"/>
          <w:b w:val="0"/>
          <w:iCs w:val="0"/>
          <w:kern w:val="2"/>
          <w:sz w:val="22"/>
          <w:lang w:val="en-GB" w:eastAsia="en-GB"/>
          <w14:ligatures w14:val="standardContextual"/>
        </w:rPr>
      </w:pPr>
      <w:hyperlink w:anchor="_Toc163500153" w:history="1">
        <w:r w:rsidR="00826447" w:rsidRPr="00B10824">
          <w:rPr>
            <w:rStyle w:val="Hyperlink"/>
          </w:rPr>
          <w:t>Proposal 4: Capture in specification that for NB-IoT it is up for UE implementation which frequencies to be measured/prioritized in RRC_CONNECTED.</w:t>
        </w:r>
      </w:hyperlink>
    </w:p>
    <w:p w14:paraId="679E2C35" w14:textId="36ED9A0A" w:rsidR="00826447" w:rsidRDefault="00A90A81">
      <w:pPr>
        <w:pStyle w:val="TOC1"/>
        <w:rPr>
          <w:rFonts w:asciiTheme="minorHAnsi" w:eastAsiaTheme="minorEastAsia" w:hAnsiTheme="minorHAnsi"/>
          <w:b w:val="0"/>
          <w:iCs w:val="0"/>
          <w:kern w:val="2"/>
          <w:sz w:val="22"/>
          <w:lang w:val="en-GB" w:eastAsia="en-GB"/>
          <w14:ligatures w14:val="standardContextual"/>
        </w:rPr>
      </w:pPr>
      <w:hyperlink w:anchor="_Toc163500154" w:history="1">
        <w:r w:rsidR="00826447" w:rsidRPr="00B10824">
          <w:rPr>
            <w:rStyle w:val="Hyperlink"/>
          </w:rPr>
          <w:t>Proposal 5: NB-IoT UE shall start time-based neighbor cell measurements:</w:t>
        </w:r>
      </w:hyperlink>
    </w:p>
    <w:p w14:paraId="3A12ED75" w14:textId="0346A190" w:rsidR="00826447" w:rsidRDefault="00A90A81">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63500155" w:history="1">
        <w:r w:rsidR="00826447" w:rsidRPr="00B10824">
          <w:rPr>
            <w:rStyle w:val="Hyperlink"/>
          </w:rPr>
          <w:t>a.</w:t>
        </w:r>
        <w:r w:rsidR="00826447">
          <w:rPr>
            <w:rFonts w:asciiTheme="minorHAnsi" w:eastAsiaTheme="minorEastAsia" w:hAnsiTheme="minorHAnsi"/>
            <w:b w:val="0"/>
            <w:iCs w:val="0"/>
            <w:kern w:val="2"/>
            <w:sz w:val="22"/>
            <w:lang w:val="en-GB" w:eastAsia="en-GB"/>
            <w14:ligatures w14:val="standardContextual"/>
          </w:rPr>
          <w:tab/>
        </w:r>
        <w:r w:rsidR="00826447" w:rsidRPr="00B10824">
          <w:rPr>
            <w:rStyle w:val="Hyperlink"/>
          </w:rPr>
          <w:t>If no t-serviceStartNeigh is provided, [Y] DRX Cycles before t-service</w:t>
        </w:r>
      </w:hyperlink>
    </w:p>
    <w:p w14:paraId="032C732E" w14:textId="626097BB" w:rsidR="00826447" w:rsidRDefault="00A90A81">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63500156" w:history="1">
        <w:r w:rsidR="00826447" w:rsidRPr="00B10824">
          <w:rPr>
            <w:rStyle w:val="Hyperlink"/>
          </w:rPr>
          <w:t>b.</w:t>
        </w:r>
        <w:r w:rsidR="00826447">
          <w:rPr>
            <w:rFonts w:asciiTheme="minorHAnsi" w:eastAsiaTheme="minorEastAsia" w:hAnsiTheme="minorHAnsi"/>
            <w:b w:val="0"/>
            <w:iCs w:val="0"/>
            <w:kern w:val="2"/>
            <w:sz w:val="22"/>
            <w:lang w:val="en-GB" w:eastAsia="en-GB"/>
            <w14:ligatures w14:val="standardContextual"/>
          </w:rPr>
          <w:tab/>
        </w:r>
        <w:r w:rsidR="00826447" w:rsidRPr="00B10824">
          <w:rPr>
            <w:rStyle w:val="Hyperlink"/>
          </w:rPr>
          <w:t>If t-serviceStartNeigh is provided for the neighbor cells, measurements shall start at tinitiate_inter = min( [Y] DRX Cycles, tService-tServiceStartNeigh) before t-service</w:t>
        </w:r>
      </w:hyperlink>
    </w:p>
    <w:p w14:paraId="5B4B5EBC" w14:textId="4118A7F9" w:rsidR="00826447" w:rsidRDefault="00A90A81">
      <w:pPr>
        <w:pStyle w:val="TOC1"/>
        <w:rPr>
          <w:rFonts w:asciiTheme="minorHAnsi" w:eastAsiaTheme="minorEastAsia" w:hAnsiTheme="minorHAnsi"/>
          <w:b w:val="0"/>
          <w:iCs w:val="0"/>
          <w:kern w:val="2"/>
          <w:sz w:val="22"/>
          <w:lang w:val="en-GB" w:eastAsia="en-GB"/>
          <w14:ligatures w14:val="standardContextual"/>
        </w:rPr>
      </w:pPr>
      <w:hyperlink w:anchor="_Toc163500157" w:history="1">
        <w:r w:rsidR="00826447" w:rsidRPr="00B10824">
          <w:rPr>
            <w:rStyle w:val="Hyperlink"/>
            <w:lang w:val="en-GB"/>
          </w:rPr>
          <w:t>Proposal 6: When a UE starts intra-frequency neighbor cell measurements based on time-based measurement initiation (e.g. T</w:t>
        </w:r>
        <w:r w:rsidR="00826447" w:rsidRPr="00B10824">
          <w:rPr>
            <w:rStyle w:val="Hyperlink"/>
            <w:vertAlign w:val="subscript"/>
            <w:lang w:val="en-GB"/>
          </w:rPr>
          <w:t>trigger</w:t>
        </w:r>
        <w:r w:rsidR="00826447" w:rsidRPr="00B10824">
          <w:rPr>
            <w:rStyle w:val="Hyperlink"/>
            <w:lang w:val="en-GB"/>
          </w:rPr>
          <w:t xml:space="preserve"> before t-service), the UE skips the serving cell measurements when the following side conditions are met:</w:t>
        </w:r>
      </w:hyperlink>
    </w:p>
    <w:p w14:paraId="757E46E2" w14:textId="55310D6E" w:rsidR="00826447" w:rsidRDefault="00A90A81">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63500158" w:history="1">
        <w:r w:rsidR="00826447" w:rsidRPr="00B10824">
          <w:rPr>
            <w:rStyle w:val="Hyperlink"/>
            <w:lang w:val="en-GB"/>
          </w:rPr>
          <w:t>a.</w:t>
        </w:r>
        <w:r w:rsidR="00826447">
          <w:rPr>
            <w:rFonts w:asciiTheme="minorHAnsi" w:eastAsiaTheme="minorEastAsia" w:hAnsiTheme="minorHAnsi"/>
            <w:b w:val="0"/>
            <w:iCs w:val="0"/>
            <w:kern w:val="2"/>
            <w:sz w:val="22"/>
            <w:lang w:val="en-GB" w:eastAsia="en-GB"/>
            <w14:ligatures w14:val="standardContextual"/>
          </w:rPr>
          <w:tab/>
        </w:r>
        <w:r w:rsidR="00826447" w:rsidRPr="00B10824">
          <w:rPr>
            <w:rStyle w:val="Hyperlink"/>
            <w:lang w:val="en-GB"/>
          </w:rPr>
          <w:t>When skipping serving cell measurements reduces the value of Ksatellite (i.e. no neighbor cell is configured for measurements in the same satellite as the serving cell)</w:t>
        </w:r>
      </w:hyperlink>
    </w:p>
    <w:p w14:paraId="08725539" w14:textId="1DCCB1CB" w:rsidR="00826447" w:rsidRDefault="00A90A81">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63500159" w:history="1">
        <w:r w:rsidR="00826447" w:rsidRPr="00B10824">
          <w:rPr>
            <w:rStyle w:val="Hyperlink"/>
            <w:lang w:val="en-GB"/>
          </w:rPr>
          <w:t>b.</w:t>
        </w:r>
        <w:r w:rsidR="00826447">
          <w:rPr>
            <w:rFonts w:asciiTheme="minorHAnsi" w:eastAsiaTheme="minorEastAsia" w:hAnsiTheme="minorHAnsi"/>
            <w:b w:val="0"/>
            <w:iCs w:val="0"/>
            <w:kern w:val="2"/>
            <w:sz w:val="22"/>
            <w:lang w:val="en-GB" w:eastAsia="en-GB"/>
            <w14:ligatures w14:val="standardContextual"/>
          </w:rPr>
          <w:tab/>
        </w:r>
        <w:r w:rsidR="00826447" w:rsidRPr="00B10824">
          <w:rPr>
            <w:rStyle w:val="Hyperlink"/>
            <w:lang w:val="en-GB"/>
          </w:rPr>
          <w:t>The S-Criterion is still met by the serving cell, according to the most recent measurements on the serving cell.</w:t>
        </w:r>
      </w:hyperlink>
    </w:p>
    <w:p w14:paraId="253C2EC5" w14:textId="741C741C" w:rsidR="00826447" w:rsidRDefault="00A90A81">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63500160" w:history="1">
        <w:r w:rsidR="00826447" w:rsidRPr="00B10824">
          <w:rPr>
            <w:rStyle w:val="Hyperlink"/>
            <w:lang w:val="en-GB"/>
          </w:rPr>
          <w:t>c.</w:t>
        </w:r>
        <w:r w:rsidR="00826447">
          <w:rPr>
            <w:rFonts w:asciiTheme="minorHAnsi" w:eastAsiaTheme="minorEastAsia" w:hAnsiTheme="minorHAnsi"/>
            <w:b w:val="0"/>
            <w:iCs w:val="0"/>
            <w:kern w:val="2"/>
            <w:sz w:val="22"/>
            <w:lang w:val="en-GB" w:eastAsia="en-GB"/>
            <w14:ligatures w14:val="standardContextual"/>
          </w:rPr>
          <w:tab/>
        </w:r>
        <w:r w:rsidR="00826447" w:rsidRPr="00B10824">
          <w:rPr>
            <w:rStyle w:val="Hyperlink"/>
            <w:lang w:val="en-GB"/>
          </w:rPr>
          <w:t>If those conditions are met, the UE is allowed to use the last value for the serving cell measurements for cell reselection purpose until t-service is reached.</w:t>
        </w:r>
      </w:hyperlink>
    </w:p>
    <w:p w14:paraId="10DB04D9" w14:textId="328E378E" w:rsidR="00826447" w:rsidRDefault="00A90A81">
      <w:pPr>
        <w:pStyle w:val="TOC1"/>
        <w:rPr>
          <w:rFonts w:asciiTheme="minorHAnsi" w:eastAsiaTheme="minorEastAsia" w:hAnsiTheme="minorHAnsi"/>
          <w:b w:val="0"/>
          <w:iCs w:val="0"/>
          <w:kern w:val="2"/>
          <w:sz w:val="22"/>
          <w:lang w:val="en-GB" w:eastAsia="en-GB"/>
          <w14:ligatures w14:val="standardContextual"/>
        </w:rPr>
      </w:pPr>
      <w:hyperlink w:anchor="_Toc163500161" w:history="1">
        <w:r w:rsidR="00826447" w:rsidRPr="00B10824">
          <w:rPr>
            <w:rStyle w:val="Hyperlink"/>
            <w:lang w:val="en-GB"/>
          </w:rPr>
          <w:t>Proposal 7: When a UE starts inter-frequency neighbor cell measurements based on time-based measurement initiation (e.g. T</w:t>
        </w:r>
        <w:r w:rsidR="00826447" w:rsidRPr="00B10824">
          <w:rPr>
            <w:rStyle w:val="Hyperlink"/>
            <w:vertAlign w:val="subscript"/>
            <w:lang w:val="en-GB"/>
          </w:rPr>
          <w:t>trigger</w:t>
        </w:r>
        <w:r w:rsidR="00826447" w:rsidRPr="00B10824">
          <w:rPr>
            <w:rStyle w:val="Hyperlink"/>
            <w:lang w:val="en-GB"/>
          </w:rPr>
          <w:t xml:space="preserve"> before t-service), and the inter-frequency neighbor cells associated to the same satellite are also configured with t-Service, then the UE is not required to measure these cells.</w:t>
        </w:r>
      </w:hyperlink>
    </w:p>
    <w:p w14:paraId="3E13CEE0" w14:textId="3D55C509" w:rsidR="00847264" w:rsidRPr="008C39F7" w:rsidRDefault="00545190" w:rsidP="008C39F7">
      <w:r>
        <w:fldChar w:fldCharType="end"/>
      </w:r>
    </w:p>
    <w:p w14:paraId="18F43DB2" w14:textId="77777777" w:rsidR="003B659E" w:rsidRPr="008C39F7" w:rsidRDefault="003B659E" w:rsidP="0060543D">
      <w:pPr>
        <w:pStyle w:val="RAN4H1"/>
        <w:numPr>
          <w:ilvl w:val="0"/>
          <w:numId w:val="0"/>
        </w:numPr>
        <w:ind w:left="360" w:hanging="360"/>
      </w:pPr>
      <w:r w:rsidRPr="008C39F7">
        <w:t>References</w:t>
      </w:r>
      <w:bookmarkEnd w:id="25"/>
    </w:p>
    <w:p w14:paraId="030F5C91" w14:textId="77777777" w:rsidR="00622345" w:rsidRPr="00DE09B1" w:rsidRDefault="00622345" w:rsidP="0039109D">
      <w:pPr>
        <w:pStyle w:val="ListParagraph"/>
        <w:numPr>
          <w:ilvl w:val="0"/>
          <w:numId w:val="6"/>
        </w:numPr>
        <w:spacing w:after="0" w:line="256" w:lineRule="auto"/>
        <w:ind w:right="-22"/>
      </w:pPr>
      <w:bookmarkStart w:id="26" w:name="_Ref114500673"/>
      <w:bookmarkStart w:id="27" w:name="_Ref159238942"/>
      <w:bookmarkStart w:id="28" w:name="_Ref115097759"/>
      <w:bookmarkStart w:id="29" w:name="_Ref115097774"/>
      <w:bookmarkEnd w:id="26"/>
      <w:r w:rsidRPr="00A37792">
        <w:t xml:space="preserve">RP-220979– </w:t>
      </w:r>
      <w:r w:rsidRPr="00A37792">
        <w:rPr>
          <w:i/>
          <w:iCs/>
        </w:rPr>
        <w:t xml:space="preserve">Revised WID on IoT NTN enhancements, </w:t>
      </w:r>
      <w:r w:rsidRPr="00A37792">
        <w:t>Mediatek, RAN 95, Electronic Meeting, March 17 - 23, 2022</w:t>
      </w:r>
      <w:bookmarkEnd w:id="27"/>
    </w:p>
    <w:p w14:paraId="7F5EEA55" w14:textId="68702646" w:rsidR="00622345" w:rsidRDefault="005E1A6B" w:rsidP="0039109D">
      <w:pPr>
        <w:pStyle w:val="ListParagraph"/>
        <w:numPr>
          <w:ilvl w:val="0"/>
          <w:numId w:val="6"/>
        </w:numPr>
        <w:spacing w:after="0" w:line="256" w:lineRule="auto"/>
        <w:ind w:right="-22"/>
      </w:pPr>
      <w:bookmarkStart w:id="30" w:name="_Ref159238957"/>
      <w:r w:rsidRPr="005E1A6B">
        <w:t>R4-2321577</w:t>
      </w:r>
      <w:r w:rsidR="00622345">
        <w:t xml:space="preserve">, </w:t>
      </w:r>
      <w:r w:rsidR="00622345" w:rsidRPr="00750EAF">
        <w:rPr>
          <w:i/>
          <w:iCs/>
        </w:rPr>
        <w:t xml:space="preserve">WF on </w:t>
      </w:r>
      <w:r w:rsidR="00622345">
        <w:rPr>
          <w:i/>
          <w:iCs/>
        </w:rPr>
        <w:t xml:space="preserve">R18 </w:t>
      </w:r>
      <w:r w:rsidR="00622345" w:rsidRPr="00750EAF">
        <w:rPr>
          <w:i/>
          <w:iCs/>
        </w:rPr>
        <w:t>IoT NTN RRM requirements</w:t>
      </w:r>
      <w:r w:rsidR="00622345">
        <w:t>, Mediatek, RAN WG4 #10</w:t>
      </w:r>
      <w:r>
        <w:t>9</w:t>
      </w:r>
      <w:r w:rsidR="00622345">
        <w:t xml:space="preserve">, </w:t>
      </w:r>
      <w:bookmarkEnd w:id="30"/>
      <w:r w:rsidRPr="005E1A6B">
        <w:t>Chicago, US, November 13 – 17, 2023</w:t>
      </w:r>
    </w:p>
    <w:bookmarkEnd w:id="28"/>
    <w:bookmarkEnd w:id="29"/>
    <w:p w14:paraId="5AF2DDE1" w14:textId="5E5BA383" w:rsidR="00670B54" w:rsidRPr="00847264" w:rsidRDefault="00670B54" w:rsidP="00670B54">
      <w:pPr>
        <w:spacing w:after="0" w:line="256" w:lineRule="auto"/>
        <w:ind w:right="-22"/>
      </w:pPr>
    </w:p>
    <w:sectPr w:rsidR="00670B54"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D6230" w14:textId="77777777" w:rsidR="00D604BE" w:rsidRDefault="00D604BE" w:rsidP="00001C9B">
      <w:pPr>
        <w:spacing w:after="0" w:line="240" w:lineRule="auto"/>
      </w:pPr>
      <w:r>
        <w:separator/>
      </w:r>
    </w:p>
  </w:endnote>
  <w:endnote w:type="continuationSeparator" w:id="0">
    <w:p w14:paraId="648B68B8" w14:textId="77777777" w:rsidR="00D604BE" w:rsidRDefault="00D604BE" w:rsidP="00001C9B">
      <w:pPr>
        <w:spacing w:after="0" w:line="240" w:lineRule="auto"/>
      </w:pPr>
      <w:r>
        <w:continuationSeparator/>
      </w:r>
    </w:p>
  </w:endnote>
  <w:endnote w:type="continuationNotice" w:id="1">
    <w:p w14:paraId="72D7F8AB" w14:textId="77777777" w:rsidR="00D604BE" w:rsidRDefault="00D604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1F66D" w14:textId="77777777" w:rsidR="00D604BE" w:rsidRDefault="00D604BE" w:rsidP="00001C9B">
      <w:pPr>
        <w:spacing w:after="0" w:line="240" w:lineRule="auto"/>
      </w:pPr>
      <w:r>
        <w:separator/>
      </w:r>
    </w:p>
  </w:footnote>
  <w:footnote w:type="continuationSeparator" w:id="0">
    <w:p w14:paraId="60AE138F" w14:textId="77777777" w:rsidR="00D604BE" w:rsidRDefault="00D604BE" w:rsidP="00001C9B">
      <w:pPr>
        <w:spacing w:after="0" w:line="240" w:lineRule="auto"/>
      </w:pPr>
      <w:r>
        <w:continuationSeparator/>
      </w:r>
    </w:p>
  </w:footnote>
  <w:footnote w:type="continuationNotice" w:id="1">
    <w:p w14:paraId="2B1B5C2C" w14:textId="77777777" w:rsidR="00D604BE" w:rsidRDefault="00D604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F67DC5"/>
    <w:multiLevelType w:val="hybridMultilevel"/>
    <w:tmpl w:val="A34AB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B42924"/>
    <w:multiLevelType w:val="hybridMultilevel"/>
    <w:tmpl w:val="38DE2928"/>
    <w:lvl w:ilvl="0" w:tplc="E31668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C901B8D"/>
    <w:multiLevelType w:val="hybridMultilevel"/>
    <w:tmpl w:val="7B76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532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1652B"/>
    <w:multiLevelType w:val="hybridMultilevel"/>
    <w:tmpl w:val="CC7EA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E03D7B"/>
    <w:multiLevelType w:val="hybridMultilevel"/>
    <w:tmpl w:val="B7C6C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CDA430A"/>
    <w:multiLevelType w:val="hybridMultilevel"/>
    <w:tmpl w:val="4D5AE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E040E9"/>
    <w:multiLevelType w:val="hybridMultilevel"/>
    <w:tmpl w:val="C6AE7F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B7741B"/>
    <w:multiLevelType w:val="hybridMultilevel"/>
    <w:tmpl w:val="132E5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CD00F4F"/>
    <w:multiLevelType w:val="hybridMultilevel"/>
    <w:tmpl w:val="D5E66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8"/>
  </w:num>
  <w:num w:numId="2" w16cid:durableId="80681869">
    <w:abstractNumId w:val="6"/>
  </w:num>
  <w:num w:numId="3" w16cid:durableId="1566528953">
    <w:abstractNumId w:val="7"/>
  </w:num>
  <w:num w:numId="4" w16cid:durableId="1456096507">
    <w:abstractNumId w:val="11"/>
  </w:num>
  <w:num w:numId="5" w16cid:durableId="143009612">
    <w:abstractNumId w:val="0"/>
  </w:num>
  <w:num w:numId="6" w16cid:durableId="1553154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9384013">
    <w:abstractNumId w:val="2"/>
  </w:num>
  <w:num w:numId="8" w16cid:durableId="2063629895">
    <w:abstractNumId w:val="13"/>
  </w:num>
  <w:num w:numId="9" w16cid:durableId="670838715">
    <w:abstractNumId w:val="5"/>
  </w:num>
  <w:num w:numId="10" w16cid:durableId="1129980847">
    <w:abstractNumId w:val="3"/>
  </w:num>
  <w:num w:numId="11" w16cid:durableId="1826507842">
    <w:abstractNumId w:val="9"/>
  </w:num>
  <w:num w:numId="12" w16cid:durableId="2123112679">
    <w:abstractNumId w:val="12"/>
  </w:num>
  <w:num w:numId="13" w16cid:durableId="1924606718">
    <w:abstractNumId w:val="10"/>
  </w:num>
  <w:num w:numId="14" w16cid:durableId="1495492847">
    <w:abstractNumId w:val="14"/>
  </w:num>
  <w:num w:numId="15" w16cid:durableId="1078672062">
    <w:abstractNumId w:val="4"/>
  </w:num>
  <w:num w:numId="16" w16cid:durableId="152497799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53EAE"/>
    <w:rsid w:val="0000044F"/>
    <w:rsid w:val="0000046C"/>
    <w:rsid w:val="00001C9B"/>
    <w:rsid w:val="000040DC"/>
    <w:rsid w:val="00005A43"/>
    <w:rsid w:val="00005E57"/>
    <w:rsid w:val="00007239"/>
    <w:rsid w:val="00011784"/>
    <w:rsid w:val="00013213"/>
    <w:rsid w:val="000143DC"/>
    <w:rsid w:val="000151EF"/>
    <w:rsid w:val="000239F5"/>
    <w:rsid w:val="000242F0"/>
    <w:rsid w:val="00024452"/>
    <w:rsid w:val="000248F5"/>
    <w:rsid w:val="00040656"/>
    <w:rsid w:val="00053AFD"/>
    <w:rsid w:val="00056B17"/>
    <w:rsid w:val="000573D3"/>
    <w:rsid w:val="00062AAE"/>
    <w:rsid w:val="000771A2"/>
    <w:rsid w:val="00077C5B"/>
    <w:rsid w:val="000808D8"/>
    <w:rsid w:val="000822E2"/>
    <w:rsid w:val="00084799"/>
    <w:rsid w:val="0008612A"/>
    <w:rsid w:val="00087FF8"/>
    <w:rsid w:val="00090E18"/>
    <w:rsid w:val="00095F51"/>
    <w:rsid w:val="000A10BC"/>
    <w:rsid w:val="000A7000"/>
    <w:rsid w:val="000B0056"/>
    <w:rsid w:val="000B2F8E"/>
    <w:rsid w:val="000B4FF4"/>
    <w:rsid w:val="000B629B"/>
    <w:rsid w:val="000B6FE2"/>
    <w:rsid w:val="000C1876"/>
    <w:rsid w:val="000C3C7B"/>
    <w:rsid w:val="000C532B"/>
    <w:rsid w:val="000D0F93"/>
    <w:rsid w:val="000D108E"/>
    <w:rsid w:val="000D5AE1"/>
    <w:rsid w:val="000E34E5"/>
    <w:rsid w:val="000F51E7"/>
    <w:rsid w:val="00100E2D"/>
    <w:rsid w:val="00103811"/>
    <w:rsid w:val="00104EB1"/>
    <w:rsid w:val="00106416"/>
    <w:rsid w:val="00110481"/>
    <w:rsid w:val="001127C9"/>
    <w:rsid w:val="00114498"/>
    <w:rsid w:val="00115B88"/>
    <w:rsid w:val="00131BCF"/>
    <w:rsid w:val="00132F6A"/>
    <w:rsid w:val="00133913"/>
    <w:rsid w:val="00135264"/>
    <w:rsid w:val="00140221"/>
    <w:rsid w:val="00144653"/>
    <w:rsid w:val="00147B14"/>
    <w:rsid w:val="00150AB9"/>
    <w:rsid w:val="00151F00"/>
    <w:rsid w:val="001642FC"/>
    <w:rsid w:val="0016496B"/>
    <w:rsid w:val="001743E2"/>
    <w:rsid w:val="001745F8"/>
    <w:rsid w:val="0018342E"/>
    <w:rsid w:val="001838CF"/>
    <w:rsid w:val="00184756"/>
    <w:rsid w:val="001868EE"/>
    <w:rsid w:val="001949E7"/>
    <w:rsid w:val="00196BE3"/>
    <w:rsid w:val="001A3BA4"/>
    <w:rsid w:val="001A488C"/>
    <w:rsid w:val="001A6D1F"/>
    <w:rsid w:val="001B2974"/>
    <w:rsid w:val="001B54E9"/>
    <w:rsid w:val="001E30F6"/>
    <w:rsid w:val="001E52BF"/>
    <w:rsid w:val="001E67CB"/>
    <w:rsid w:val="001E6A67"/>
    <w:rsid w:val="001F093D"/>
    <w:rsid w:val="001F4C2B"/>
    <w:rsid w:val="001F540D"/>
    <w:rsid w:val="001F573F"/>
    <w:rsid w:val="00201EFD"/>
    <w:rsid w:val="00205AB8"/>
    <w:rsid w:val="0021358A"/>
    <w:rsid w:val="00213D3C"/>
    <w:rsid w:val="002147A8"/>
    <w:rsid w:val="00216FE5"/>
    <w:rsid w:val="00217EE5"/>
    <w:rsid w:val="00221C70"/>
    <w:rsid w:val="002226DD"/>
    <w:rsid w:val="00224585"/>
    <w:rsid w:val="0023526B"/>
    <w:rsid w:val="00235C40"/>
    <w:rsid w:val="00235F5C"/>
    <w:rsid w:val="00236505"/>
    <w:rsid w:val="00236DAC"/>
    <w:rsid w:val="00236EFA"/>
    <w:rsid w:val="00237FD6"/>
    <w:rsid w:val="00240D3B"/>
    <w:rsid w:val="00257FA3"/>
    <w:rsid w:val="0026014A"/>
    <w:rsid w:val="00260A8A"/>
    <w:rsid w:val="002657A8"/>
    <w:rsid w:val="00265C6D"/>
    <w:rsid w:val="00270FB7"/>
    <w:rsid w:val="0027155E"/>
    <w:rsid w:val="00271D75"/>
    <w:rsid w:val="00276E93"/>
    <w:rsid w:val="00277B56"/>
    <w:rsid w:val="00282D04"/>
    <w:rsid w:val="00285E47"/>
    <w:rsid w:val="002875E1"/>
    <w:rsid w:val="002901E6"/>
    <w:rsid w:val="002943D4"/>
    <w:rsid w:val="00295C17"/>
    <w:rsid w:val="002A080A"/>
    <w:rsid w:val="002A19F5"/>
    <w:rsid w:val="002A3507"/>
    <w:rsid w:val="002B2D61"/>
    <w:rsid w:val="002B37C3"/>
    <w:rsid w:val="002B4922"/>
    <w:rsid w:val="002B764E"/>
    <w:rsid w:val="002C22C3"/>
    <w:rsid w:val="002C24D4"/>
    <w:rsid w:val="002C2D19"/>
    <w:rsid w:val="002C5BC4"/>
    <w:rsid w:val="002C7487"/>
    <w:rsid w:val="002C7ED4"/>
    <w:rsid w:val="002D10FA"/>
    <w:rsid w:val="002D1A6F"/>
    <w:rsid w:val="002D4C55"/>
    <w:rsid w:val="002D7487"/>
    <w:rsid w:val="002E1B58"/>
    <w:rsid w:val="002E27D8"/>
    <w:rsid w:val="002E6DED"/>
    <w:rsid w:val="002F73FF"/>
    <w:rsid w:val="00300956"/>
    <w:rsid w:val="00300A23"/>
    <w:rsid w:val="00301766"/>
    <w:rsid w:val="0030550E"/>
    <w:rsid w:val="003075FE"/>
    <w:rsid w:val="003116E3"/>
    <w:rsid w:val="00311E81"/>
    <w:rsid w:val="00312AE5"/>
    <w:rsid w:val="00312E3E"/>
    <w:rsid w:val="00317187"/>
    <w:rsid w:val="00323385"/>
    <w:rsid w:val="0032499A"/>
    <w:rsid w:val="003249DA"/>
    <w:rsid w:val="003341F7"/>
    <w:rsid w:val="00341E1C"/>
    <w:rsid w:val="00342802"/>
    <w:rsid w:val="00343666"/>
    <w:rsid w:val="00347FEC"/>
    <w:rsid w:val="00356F45"/>
    <w:rsid w:val="00363450"/>
    <w:rsid w:val="003634FA"/>
    <w:rsid w:val="00366B74"/>
    <w:rsid w:val="00367FAC"/>
    <w:rsid w:val="00370495"/>
    <w:rsid w:val="00382DE9"/>
    <w:rsid w:val="00383BA0"/>
    <w:rsid w:val="00386DF6"/>
    <w:rsid w:val="0039109D"/>
    <w:rsid w:val="00391695"/>
    <w:rsid w:val="00393341"/>
    <w:rsid w:val="00394EF4"/>
    <w:rsid w:val="00394F81"/>
    <w:rsid w:val="00397D35"/>
    <w:rsid w:val="003A3ABE"/>
    <w:rsid w:val="003A710A"/>
    <w:rsid w:val="003B0B51"/>
    <w:rsid w:val="003B659E"/>
    <w:rsid w:val="003C227A"/>
    <w:rsid w:val="003C275E"/>
    <w:rsid w:val="003C4FDE"/>
    <w:rsid w:val="003C5F33"/>
    <w:rsid w:val="003C667F"/>
    <w:rsid w:val="003C77FD"/>
    <w:rsid w:val="003D0630"/>
    <w:rsid w:val="003D6421"/>
    <w:rsid w:val="003E1C8C"/>
    <w:rsid w:val="003E58DF"/>
    <w:rsid w:val="003E6FE1"/>
    <w:rsid w:val="003F2D5D"/>
    <w:rsid w:val="003F7BEC"/>
    <w:rsid w:val="0040073E"/>
    <w:rsid w:val="00400FE5"/>
    <w:rsid w:val="00404C4C"/>
    <w:rsid w:val="00406F77"/>
    <w:rsid w:val="0041423F"/>
    <w:rsid w:val="00414F81"/>
    <w:rsid w:val="0041706C"/>
    <w:rsid w:val="00424278"/>
    <w:rsid w:val="0042454C"/>
    <w:rsid w:val="00427664"/>
    <w:rsid w:val="004301FA"/>
    <w:rsid w:val="004333EF"/>
    <w:rsid w:val="00433CBA"/>
    <w:rsid w:val="00436A0F"/>
    <w:rsid w:val="00437150"/>
    <w:rsid w:val="0043750A"/>
    <w:rsid w:val="004421FF"/>
    <w:rsid w:val="0044621B"/>
    <w:rsid w:val="00450C21"/>
    <w:rsid w:val="00455CFE"/>
    <w:rsid w:val="00456CC6"/>
    <w:rsid w:val="00457F31"/>
    <w:rsid w:val="00461005"/>
    <w:rsid w:val="004643C7"/>
    <w:rsid w:val="004653F0"/>
    <w:rsid w:val="00470BE3"/>
    <w:rsid w:val="00472567"/>
    <w:rsid w:val="004732E9"/>
    <w:rsid w:val="004757BA"/>
    <w:rsid w:val="00481505"/>
    <w:rsid w:val="00484B6E"/>
    <w:rsid w:val="004850D9"/>
    <w:rsid w:val="004854BB"/>
    <w:rsid w:val="00494493"/>
    <w:rsid w:val="00496606"/>
    <w:rsid w:val="004A1863"/>
    <w:rsid w:val="004A5607"/>
    <w:rsid w:val="004A7ACD"/>
    <w:rsid w:val="004C1A1A"/>
    <w:rsid w:val="004C47BD"/>
    <w:rsid w:val="004C532A"/>
    <w:rsid w:val="004C6EF6"/>
    <w:rsid w:val="004D0282"/>
    <w:rsid w:val="004D0B95"/>
    <w:rsid w:val="004D3E0F"/>
    <w:rsid w:val="004D4E90"/>
    <w:rsid w:val="004D5B5B"/>
    <w:rsid w:val="004D6870"/>
    <w:rsid w:val="004E18CF"/>
    <w:rsid w:val="004E1E49"/>
    <w:rsid w:val="004E5E66"/>
    <w:rsid w:val="004E7ADB"/>
    <w:rsid w:val="004F3A0B"/>
    <w:rsid w:val="005020C1"/>
    <w:rsid w:val="00503B4D"/>
    <w:rsid w:val="00504EE9"/>
    <w:rsid w:val="005052DE"/>
    <w:rsid w:val="00506AE0"/>
    <w:rsid w:val="00512839"/>
    <w:rsid w:val="00520A19"/>
    <w:rsid w:val="00521576"/>
    <w:rsid w:val="005250E6"/>
    <w:rsid w:val="00533F6D"/>
    <w:rsid w:val="00542D23"/>
    <w:rsid w:val="0054442C"/>
    <w:rsid w:val="00545190"/>
    <w:rsid w:val="00550285"/>
    <w:rsid w:val="00551AAE"/>
    <w:rsid w:val="00552FE6"/>
    <w:rsid w:val="00562492"/>
    <w:rsid w:val="0056276E"/>
    <w:rsid w:val="00564074"/>
    <w:rsid w:val="00565FE5"/>
    <w:rsid w:val="00570ADC"/>
    <w:rsid w:val="00572A20"/>
    <w:rsid w:val="00576540"/>
    <w:rsid w:val="00580297"/>
    <w:rsid w:val="00581538"/>
    <w:rsid w:val="005836F8"/>
    <w:rsid w:val="005918FA"/>
    <w:rsid w:val="00592A86"/>
    <w:rsid w:val="00592C3D"/>
    <w:rsid w:val="005A2A81"/>
    <w:rsid w:val="005A45D9"/>
    <w:rsid w:val="005A5004"/>
    <w:rsid w:val="005B4801"/>
    <w:rsid w:val="005C17FA"/>
    <w:rsid w:val="005C23A4"/>
    <w:rsid w:val="005D1CDF"/>
    <w:rsid w:val="005D2BB7"/>
    <w:rsid w:val="005E1A6B"/>
    <w:rsid w:val="005E327D"/>
    <w:rsid w:val="005E61A8"/>
    <w:rsid w:val="005F0618"/>
    <w:rsid w:val="005F0868"/>
    <w:rsid w:val="005F24BD"/>
    <w:rsid w:val="005F4F53"/>
    <w:rsid w:val="005F6419"/>
    <w:rsid w:val="00603742"/>
    <w:rsid w:val="0060543D"/>
    <w:rsid w:val="006104DD"/>
    <w:rsid w:val="00611FB2"/>
    <w:rsid w:val="006130B5"/>
    <w:rsid w:val="00616A3E"/>
    <w:rsid w:val="00617400"/>
    <w:rsid w:val="00622345"/>
    <w:rsid w:val="00623BA9"/>
    <w:rsid w:val="00623F48"/>
    <w:rsid w:val="00632D29"/>
    <w:rsid w:val="006354F9"/>
    <w:rsid w:val="0063603E"/>
    <w:rsid w:val="006417D8"/>
    <w:rsid w:val="00644BFC"/>
    <w:rsid w:val="00650093"/>
    <w:rsid w:val="00653EAE"/>
    <w:rsid w:val="00656F8D"/>
    <w:rsid w:val="00662B27"/>
    <w:rsid w:val="00664950"/>
    <w:rsid w:val="00670B54"/>
    <w:rsid w:val="006741A7"/>
    <w:rsid w:val="006773F6"/>
    <w:rsid w:val="00683220"/>
    <w:rsid w:val="0068629C"/>
    <w:rsid w:val="0068776D"/>
    <w:rsid w:val="00687FA0"/>
    <w:rsid w:val="006965A1"/>
    <w:rsid w:val="00696EDD"/>
    <w:rsid w:val="006974DA"/>
    <w:rsid w:val="006A34E8"/>
    <w:rsid w:val="006A3C11"/>
    <w:rsid w:val="006A5BF6"/>
    <w:rsid w:val="006A68F8"/>
    <w:rsid w:val="006A6F38"/>
    <w:rsid w:val="006B0AFF"/>
    <w:rsid w:val="006B1C52"/>
    <w:rsid w:val="006B38F1"/>
    <w:rsid w:val="006B4A45"/>
    <w:rsid w:val="006B7010"/>
    <w:rsid w:val="006C3095"/>
    <w:rsid w:val="006D4159"/>
    <w:rsid w:val="006E1151"/>
    <w:rsid w:val="006E409F"/>
    <w:rsid w:val="006E6311"/>
    <w:rsid w:val="006F026D"/>
    <w:rsid w:val="006F0D44"/>
    <w:rsid w:val="006F222B"/>
    <w:rsid w:val="006F5E2F"/>
    <w:rsid w:val="00700E6A"/>
    <w:rsid w:val="00707313"/>
    <w:rsid w:val="007145FF"/>
    <w:rsid w:val="00715B2A"/>
    <w:rsid w:val="00722526"/>
    <w:rsid w:val="00724296"/>
    <w:rsid w:val="007242D4"/>
    <w:rsid w:val="00726FCD"/>
    <w:rsid w:val="0073637C"/>
    <w:rsid w:val="00736CD9"/>
    <w:rsid w:val="00740507"/>
    <w:rsid w:val="007450F1"/>
    <w:rsid w:val="00746AAC"/>
    <w:rsid w:val="0075008A"/>
    <w:rsid w:val="00751515"/>
    <w:rsid w:val="007549F8"/>
    <w:rsid w:val="00760E3A"/>
    <w:rsid w:val="007626B7"/>
    <w:rsid w:val="0077211B"/>
    <w:rsid w:val="00773851"/>
    <w:rsid w:val="00777909"/>
    <w:rsid w:val="007808AB"/>
    <w:rsid w:val="0078212B"/>
    <w:rsid w:val="00782A63"/>
    <w:rsid w:val="00784DF6"/>
    <w:rsid w:val="00785232"/>
    <w:rsid w:val="00787B98"/>
    <w:rsid w:val="00787BD1"/>
    <w:rsid w:val="00790986"/>
    <w:rsid w:val="007913D6"/>
    <w:rsid w:val="00794C9B"/>
    <w:rsid w:val="007A0B32"/>
    <w:rsid w:val="007A3356"/>
    <w:rsid w:val="007B186C"/>
    <w:rsid w:val="007C1696"/>
    <w:rsid w:val="007C1F1D"/>
    <w:rsid w:val="007C3ED0"/>
    <w:rsid w:val="007C5971"/>
    <w:rsid w:val="007D3620"/>
    <w:rsid w:val="007D7AD5"/>
    <w:rsid w:val="007E6B53"/>
    <w:rsid w:val="007F54B9"/>
    <w:rsid w:val="007F5FBA"/>
    <w:rsid w:val="00805BC7"/>
    <w:rsid w:val="00806A76"/>
    <w:rsid w:val="00811B84"/>
    <w:rsid w:val="00811C9D"/>
    <w:rsid w:val="00816C80"/>
    <w:rsid w:val="00824F15"/>
    <w:rsid w:val="008256CB"/>
    <w:rsid w:val="00826447"/>
    <w:rsid w:val="00830171"/>
    <w:rsid w:val="00830963"/>
    <w:rsid w:val="00841BCD"/>
    <w:rsid w:val="0084690C"/>
    <w:rsid w:val="00846C62"/>
    <w:rsid w:val="00847264"/>
    <w:rsid w:val="00847F99"/>
    <w:rsid w:val="0085030D"/>
    <w:rsid w:val="00851A8E"/>
    <w:rsid w:val="0085365B"/>
    <w:rsid w:val="008543D2"/>
    <w:rsid w:val="008554BA"/>
    <w:rsid w:val="00855736"/>
    <w:rsid w:val="00864515"/>
    <w:rsid w:val="0086633A"/>
    <w:rsid w:val="00873EE5"/>
    <w:rsid w:val="008808F9"/>
    <w:rsid w:val="008826C1"/>
    <w:rsid w:val="00883DFD"/>
    <w:rsid w:val="00884389"/>
    <w:rsid w:val="0089027F"/>
    <w:rsid w:val="008902EB"/>
    <w:rsid w:val="008A1BF7"/>
    <w:rsid w:val="008A5B0E"/>
    <w:rsid w:val="008B0961"/>
    <w:rsid w:val="008C01BB"/>
    <w:rsid w:val="008C07EA"/>
    <w:rsid w:val="008C230F"/>
    <w:rsid w:val="008C27FC"/>
    <w:rsid w:val="008C39F7"/>
    <w:rsid w:val="008C72A3"/>
    <w:rsid w:val="008C7672"/>
    <w:rsid w:val="008D07A5"/>
    <w:rsid w:val="008D36BC"/>
    <w:rsid w:val="008D47D3"/>
    <w:rsid w:val="008E15B4"/>
    <w:rsid w:val="008E6C7A"/>
    <w:rsid w:val="008F7495"/>
    <w:rsid w:val="008F7A85"/>
    <w:rsid w:val="0090091A"/>
    <w:rsid w:val="00901A21"/>
    <w:rsid w:val="009042BD"/>
    <w:rsid w:val="00904FE4"/>
    <w:rsid w:val="00914681"/>
    <w:rsid w:val="00923257"/>
    <w:rsid w:val="00936159"/>
    <w:rsid w:val="00937A65"/>
    <w:rsid w:val="00944463"/>
    <w:rsid w:val="0094617C"/>
    <w:rsid w:val="00947294"/>
    <w:rsid w:val="0095238F"/>
    <w:rsid w:val="00953F81"/>
    <w:rsid w:val="00957C32"/>
    <w:rsid w:val="00966FBA"/>
    <w:rsid w:val="0096737E"/>
    <w:rsid w:val="00967834"/>
    <w:rsid w:val="00973445"/>
    <w:rsid w:val="0097477F"/>
    <w:rsid w:val="0097559C"/>
    <w:rsid w:val="00977528"/>
    <w:rsid w:val="0097784C"/>
    <w:rsid w:val="00977E1D"/>
    <w:rsid w:val="00985F77"/>
    <w:rsid w:val="009956ED"/>
    <w:rsid w:val="009958F8"/>
    <w:rsid w:val="00996FA7"/>
    <w:rsid w:val="009A0DBB"/>
    <w:rsid w:val="009A5B10"/>
    <w:rsid w:val="009B0573"/>
    <w:rsid w:val="009B17A2"/>
    <w:rsid w:val="009B3B2E"/>
    <w:rsid w:val="009B7B4B"/>
    <w:rsid w:val="009B7C21"/>
    <w:rsid w:val="009C2791"/>
    <w:rsid w:val="009C4B6F"/>
    <w:rsid w:val="009D15F9"/>
    <w:rsid w:val="009D2D7E"/>
    <w:rsid w:val="009D4719"/>
    <w:rsid w:val="009E7F89"/>
    <w:rsid w:val="009F3756"/>
    <w:rsid w:val="009F5D6B"/>
    <w:rsid w:val="00A0148A"/>
    <w:rsid w:val="00A020CE"/>
    <w:rsid w:val="00A04992"/>
    <w:rsid w:val="00A06BC3"/>
    <w:rsid w:val="00A1418D"/>
    <w:rsid w:val="00A147AA"/>
    <w:rsid w:val="00A157E2"/>
    <w:rsid w:val="00A16EDB"/>
    <w:rsid w:val="00A20713"/>
    <w:rsid w:val="00A21D71"/>
    <w:rsid w:val="00A22B78"/>
    <w:rsid w:val="00A23580"/>
    <w:rsid w:val="00A25AE5"/>
    <w:rsid w:val="00A30C8C"/>
    <w:rsid w:val="00A31437"/>
    <w:rsid w:val="00A3541C"/>
    <w:rsid w:val="00A37002"/>
    <w:rsid w:val="00A40467"/>
    <w:rsid w:val="00A4355E"/>
    <w:rsid w:val="00A520D9"/>
    <w:rsid w:val="00A52955"/>
    <w:rsid w:val="00A56E48"/>
    <w:rsid w:val="00A573DA"/>
    <w:rsid w:val="00A61AA2"/>
    <w:rsid w:val="00A61FD7"/>
    <w:rsid w:val="00A66B39"/>
    <w:rsid w:val="00A77B49"/>
    <w:rsid w:val="00A77F95"/>
    <w:rsid w:val="00A82BF7"/>
    <w:rsid w:val="00A82FAE"/>
    <w:rsid w:val="00A8548E"/>
    <w:rsid w:val="00A90A81"/>
    <w:rsid w:val="00A92BCD"/>
    <w:rsid w:val="00A94FF1"/>
    <w:rsid w:val="00A955B7"/>
    <w:rsid w:val="00A96353"/>
    <w:rsid w:val="00AA0EAF"/>
    <w:rsid w:val="00AA1B0E"/>
    <w:rsid w:val="00AA27CC"/>
    <w:rsid w:val="00AA47B6"/>
    <w:rsid w:val="00AA5BC0"/>
    <w:rsid w:val="00AC0CE7"/>
    <w:rsid w:val="00AC163B"/>
    <w:rsid w:val="00AC5CA7"/>
    <w:rsid w:val="00AC6058"/>
    <w:rsid w:val="00AE2A99"/>
    <w:rsid w:val="00AE2BA5"/>
    <w:rsid w:val="00AE56B1"/>
    <w:rsid w:val="00AE6D09"/>
    <w:rsid w:val="00AF1CAB"/>
    <w:rsid w:val="00AF3AF8"/>
    <w:rsid w:val="00AF4121"/>
    <w:rsid w:val="00AF7A7C"/>
    <w:rsid w:val="00B02070"/>
    <w:rsid w:val="00B0233C"/>
    <w:rsid w:val="00B02878"/>
    <w:rsid w:val="00B12E36"/>
    <w:rsid w:val="00B16203"/>
    <w:rsid w:val="00B17558"/>
    <w:rsid w:val="00B17746"/>
    <w:rsid w:val="00B17C53"/>
    <w:rsid w:val="00B247C9"/>
    <w:rsid w:val="00B30A95"/>
    <w:rsid w:val="00B36B18"/>
    <w:rsid w:val="00B404AD"/>
    <w:rsid w:val="00B408B6"/>
    <w:rsid w:val="00B4165C"/>
    <w:rsid w:val="00B43142"/>
    <w:rsid w:val="00B51876"/>
    <w:rsid w:val="00B542DA"/>
    <w:rsid w:val="00B601CE"/>
    <w:rsid w:val="00B649BF"/>
    <w:rsid w:val="00B662F1"/>
    <w:rsid w:val="00B663E7"/>
    <w:rsid w:val="00B67163"/>
    <w:rsid w:val="00B6772F"/>
    <w:rsid w:val="00B67874"/>
    <w:rsid w:val="00B70170"/>
    <w:rsid w:val="00B73862"/>
    <w:rsid w:val="00B73F43"/>
    <w:rsid w:val="00B74621"/>
    <w:rsid w:val="00B75BBF"/>
    <w:rsid w:val="00B812F2"/>
    <w:rsid w:val="00B82E58"/>
    <w:rsid w:val="00B90E87"/>
    <w:rsid w:val="00B93866"/>
    <w:rsid w:val="00B96A82"/>
    <w:rsid w:val="00BA4724"/>
    <w:rsid w:val="00BA6B66"/>
    <w:rsid w:val="00BA6E48"/>
    <w:rsid w:val="00BB4B06"/>
    <w:rsid w:val="00BB555C"/>
    <w:rsid w:val="00BC1AD6"/>
    <w:rsid w:val="00BC5E45"/>
    <w:rsid w:val="00BD145A"/>
    <w:rsid w:val="00BD33D9"/>
    <w:rsid w:val="00BE0AF6"/>
    <w:rsid w:val="00BE1F03"/>
    <w:rsid w:val="00BE3120"/>
    <w:rsid w:val="00BE58A7"/>
    <w:rsid w:val="00BF08F1"/>
    <w:rsid w:val="00BF2218"/>
    <w:rsid w:val="00BF4D82"/>
    <w:rsid w:val="00BF65EE"/>
    <w:rsid w:val="00BF79DA"/>
    <w:rsid w:val="00C0280B"/>
    <w:rsid w:val="00C0426B"/>
    <w:rsid w:val="00C045DF"/>
    <w:rsid w:val="00C05FCB"/>
    <w:rsid w:val="00C06CA2"/>
    <w:rsid w:val="00C12376"/>
    <w:rsid w:val="00C15482"/>
    <w:rsid w:val="00C201B6"/>
    <w:rsid w:val="00C207C1"/>
    <w:rsid w:val="00C233E8"/>
    <w:rsid w:val="00C26D43"/>
    <w:rsid w:val="00C2781D"/>
    <w:rsid w:val="00C34D95"/>
    <w:rsid w:val="00C46548"/>
    <w:rsid w:val="00C47C9E"/>
    <w:rsid w:val="00C52710"/>
    <w:rsid w:val="00C54B57"/>
    <w:rsid w:val="00C5740C"/>
    <w:rsid w:val="00C574D5"/>
    <w:rsid w:val="00C62C9D"/>
    <w:rsid w:val="00C6352E"/>
    <w:rsid w:val="00C648BB"/>
    <w:rsid w:val="00C73F32"/>
    <w:rsid w:val="00C80C2A"/>
    <w:rsid w:val="00C87462"/>
    <w:rsid w:val="00C934AA"/>
    <w:rsid w:val="00C94051"/>
    <w:rsid w:val="00C96C75"/>
    <w:rsid w:val="00C96CC2"/>
    <w:rsid w:val="00C97743"/>
    <w:rsid w:val="00CA0A54"/>
    <w:rsid w:val="00CA0BFB"/>
    <w:rsid w:val="00CA180C"/>
    <w:rsid w:val="00CA5E74"/>
    <w:rsid w:val="00CB22B2"/>
    <w:rsid w:val="00CC0D0D"/>
    <w:rsid w:val="00CC3EE2"/>
    <w:rsid w:val="00CD0E5A"/>
    <w:rsid w:val="00CD256D"/>
    <w:rsid w:val="00CD7492"/>
    <w:rsid w:val="00CE3A6B"/>
    <w:rsid w:val="00CE6EE0"/>
    <w:rsid w:val="00CF18A9"/>
    <w:rsid w:val="00CF59EA"/>
    <w:rsid w:val="00D00211"/>
    <w:rsid w:val="00D01A55"/>
    <w:rsid w:val="00D031DE"/>
    <w:rsid w:val="00D04DA7"/>
    <w:rsid w:val="00D0527D"/>
    <w:rsid w:val="00D06309"/>
    <w:rsid w:val="00D067B0"/>
    <w:rsid w:val="00D154C0"/>
    <w:rsid w:val="00D24A1F"/>
    <w:rsid w:val="00D250F6"/>
    <w:rsid w:val="00D257A6"/>
    <w:rsid w:val="00D268AF"/>
    <w:rsid w:val="00D351EA"/>
    <w:rsid w:val="00D40288"/>
    <w:rsid w:val="00D405AC"/>
    <w:rsid w:val="00D42A9E"/>
    <w:rsid w:val="00D43403"/>
    <w:rsid w:val="00D5150B"/>
    <w:rsid w:val="00D5270B"/>
    <w:rsid w:val="00D604BE"/>
    <w:rsid w:val="00D61C37"/>
    <w:rsid w:val="00D62360"/>
    <w:rsid w:val="00D62E71"/>
    <w:rsid w:val="00D6430D"/>
    <w:rsid w:val="00D6532A"/>
    <w:rsid w:val="00D66188"/>
    <w:rsid w:val="00D731F6"/>
    <w:rsid w:val="00D740CA"/>
    <w:rsid w:val="00D813AF"/>
    <w:rsid w:val="00D85728"/>
    <w:rsid w:val="00D87287"/>
    <w:rsid w:val="00D87962"/>
    <w:rsid w:val="00D95481"/>
    <w:rsid w:val="00DA03A6"/>
    <w:rsid w:val="00DA0441"/>
    <w:rsid w:val="00DB2D81"/>
    <w:rsid w:val="00DC3942"/>
    <w:rsid w:val="00DC7A13"/>
    <w:rsid w:val="00DD6C39"/>
    <w:rsid w:val="00DE09B1"/>
    <w:rsid w:val="00DE0E51"/>
    <w:rsid w:val="00DE12B1"/>
    <w:rsid w:val="00DE3B8A"/>
    <w:rsid w:val="00DF2997"/>
    <w:rsid w:val="00DF794E"/>
    <w:rsid w:val="00E011F3"/>
    <w:rsid w:val="00E018C8"/>
    <w:rsid w:val="00E10BC4"/>
    <w:rsid w:val="00E13A55"/>
    <w:rsid w:val="00E1415D"/>
    <w:rsid w:val="00E201E6"/>
    <w:rsid w:val="00E210EE"/>
    <w:rsid w:val="00E255BE"/>
    <w:rsid w:val="00E273FD"/>
    <w:rsid w:val="00E30010"/>
    <w:rsid w:val="00E31233"/>
    <w:rsid w:val="00E323E9"/>
    <w:rsid w:val="00E34018"/>
    <w:rsid w:val="00E35EE8"/>
    <w:rsid w:val="00E40172"/>
    <w:rsid w:val="00E437D2"/>
    <w:rsid w:val="00E46E7F"/>
    <w:rsid w:val="00E55751"/>
    <w:rsid w:val="00E627F4"/>
    <w:rsid w:val="00E64949"/>
    <w:rsid w:val="00E64E42"/>
    <w:rsid w:val="00E708A3"/>
    <w:rsid w:val="00E758F9"/>
    <w:rsid w:val="00E76D84"/>
    <w:rsid w:val="00E77D00"/>
    <w:rsid w:val="00E8025D"/>
    <w:rsid w:val="00E847E4"/>
    <w:rsid w:val="00E8568A"/>
    <w:rsid w:val="00E90A4A"/>
    <w:rsid w:val="00E9640D"/>
    <w:rsid w:val="00E972A9"/>
    <w:rsid w:val="00EA12B0"/>
    <w:rsid w:val="00EA2311"/>
    <w:rsid w:val="00EA79EC"/>
    <w:rsid w:val="00EC5CAB"/>
    <w:rsid w:val="00EC7BC3"/>
    <w:rsid w:val="00EC7EB5"/>
    <w:rsid w:val="00ED0CCD"/>
    <w:rsid w:val="00ED5245"/>
    <w:rsid w:val="00ED7600"/>
    <w:rsid w:val="00ED7616"/>
    <w:rsid w:val="00EE4B0F"/>
    <w:rsid w:val="00EE5630"/>
    <w:rsid w:val="00EE5BB6"/>
    <w:rsid w:val="00EE66C3"/>
    <w:rsid w:val="00EF1110"/>
    <w:rsid w:val="00EF1767"/>
    <w:rsid w:val="00EF45B7"/>
    <w:rsid w:val="00EF569C"/>
    <w:rsid w:val="00EF6073"/>
    <w:rsid w:val="00EF698B"/>
    <w:rsid w:val="00F04DE8"/>
    <w:rsid w:val="00F06C91"/>
    <w:rsid w:val="00F11C14"/>
    <w:rsid w:val="00F1362C"/>
    <w:rsid w:val="00F15CA0"/>
    <w:rsid w:val="00F17FE7"/>
    <w:rsid w:val="00F20202"/>
    <w:rsid w:val="00F27EB1"/>
    <w:rsid w:val="00F27FBD"/>
    <w:rsid w:val="00F414F1"/>
    <w:rsid w:val="00F44217"/>
    <w:rsid w:val="00F44504"/>
    <w:rsid w:val="00F44712"/>
    <w:rsid w:val="00F508B8"/>
    <w:rsid w:val="00F532D0"/>
    <w:rsid w:val="00F618EE"/>
    <w:rsid w:val="00F62D40"/>
    <w:rsid w:val="00F71F6E"/>
    <w:rsid w:val="00F72A5D"/>
    <w:rsid w:val="00F72CB1"/>
    <w:rsid w:val="00F737F6"/>
    <w:rsid w:val="00F8039F"/>
    <w:rsid w:val="00F8215E"/>
    <w:rsid w:val="00F824F5"/>
    <w:rsid w:val="00F8297D"/>
    <w:rsid w:val="00F83F42"/>
    <w:rsid w:val="00F90FAB"/>
    <w:rsid w:val="00F936B6"/>
    <w:rsid w:val="00F9374D"/>
    <w:rsid w:val="00F9517E"/>
    <w:rsid w:val="00F96347"/>
    <w:rsid w:val="00FA3CFD"/>
    <w:rsid w:val="00FA75D6"/>
    <w:rsid w:val="00FB2D10"/>
    <w:rsid w:val="00FB5269"/>
    <w:rsid w:val="00FB582E"/>
    <w:rsid w:val="00FC2298"/>
    <w:rsid w:val="00FC29B9"/>
    <w:rsid w:val="00FC437D"/>
    <w:rsid w:val="00FC6FD3"/>
    <w:rsid w:val="00FD1147"/>
    <w:rsid w:val="00FD37E2"/>
    <w:rsid w:val="00FD74F7"/>
    <w:rsid w:val="00FE0D7C"/>
    <w:rsid w:val="00FE1B6B"/>
    <w:rsid w:val="00FE2445"/>
    <w:rsid w:val="00FE305C"/>
    <w:rsid w:val="00FE69A0"/>
    <w:rsid w:val="00FF0301"/>
    <w:rsid w:val="00FF03E4"/>
    <w:rsid w:val="00FF10EA"/>
    <w:rsid w:val="00FF4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3D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BA9"/>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545190"/>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egoe UI" w:hAnsi="Segoe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character" w:styleId="Mention">
    <w:name w:val="Mention"/>
    <w:basedOn w:val="DefaultParagraphFont"/>
    <w:uiPriority w:val="99"/>
    <w:unhideWhenUsed/>
    <w:rsid w:val="00A157E2"/>
    <w:rPr>
      <w:color w:val="2B579A"/>
      <w:shd w:val="clear" w:color="auto" w:fill="E1DFDD"/>
    </w:rPr>
  </w:style>
  <w:style w:type="paragraph" w:styleId="Header">
    <w:name w:val="header"/>
    <w:basedOn w:val="Normal"/>
    <w:link w:val="HeaderChar"/>
    <w:unhideWhenUsed/>
    <w:rsid w:val="00947294"/>
    <w:pPr>
      <w:tabs>
        <w:tab w:val="center" w:pos="4986"/>
        <w:tab w:val="right" w:pos="9972"/>
      </w:tabs>
      <w:spacing w:after="0" w:line="240" w:lineRule="auto"/>
    </w:pPr>
  </w:style>
  <w:style w:type="character" w:customStyle="1" w:styleId="HeaderChar">
    <w:name w:val="Header Char"/>
    <w:basedOn w:val="DefaultParagraphFont"/>
    <w:link w:val="Header"/>
    <w:rsid w:val="00A66B39"/>
    <w:rPr>
      <w:rFonts w:ascii="Times New Roman" w:hAnsi="Times New Roman"/>
      <w:sz w:val="20"/>
    </w:rPr>
  </w:style>
  <w:style w:type="paragraph" w:styleId="Footer">
    <w:name w:val="footer"/>
    <w:basedOn w:val="Normal"/>
    <w:link w:val="FooterChar"/>
    <w:uiPriority w:val="99"/>
    <w:unhideWhenUsed/>
    <w:rsid w:val="00947294"/>
    <w:pPr>
      <w:tabs>
        <w:tab w:val="center" w:pos="4986"/>
        <w:tab w:val="right" w:pos="9972"/>
      </w:tabs>
      <w:spacing w:after="0" w:line="240" w:lineRule="auto"/>
    </w:pPr>
  </w:style>
  <w:style w:type="character" w:customStyle="1" w:styleId="FooterChar">
    <w:name w:val="Footer Char"/>
    <w:basedOn w:val="DefaultParagraphFont"/>
    <w:link w:val="Footer"/>
    <w:uiPriority w:val="99"/>
    <w:rsid w:val="00A66B39"/>
    <w:rPr>
      <w:rFonts w:ascii="Times New Roman" w:hAnsi="Times New Roman"/>
      <w:sz w:val="20"/>
    </w:rPr>
  </w:style>
  <w:style w:type="paragraph" w:styleId="Revision">
    <w:name w:val="Revision"/>
    <w:hidden/>
    <w:uiPriority w:val="99"/>
    <w:semiHidden/>
    <w:rsid w:val="00A66B39"/>
    <w:pPr>
      <w:spacing w:after="0" w:line="240" w:lineRule="auto"/>
    </w:pPr>
    <w:rPr>
      <w:rFonts w:ascii="Times New Roman" w:hAnsi="Times New Roman"/>
      <w:sz w:val="20"/>
    </w:rPr>
  </w:style>
  <w:style w:type="paragraph" w:customStyle="1" w:styleId="pf0">
    <w:name w:val="pf0"/>
    <w:basedOn w:val="Normal"/>
    <w:rsid w:val="008C72A3"/>
    <w:pPr>
      <w:spacing w:before="100" w:beforeAutospacing="1" w:after="100" w:afterAutospacing="1" w:line="240" w:lineRule="auto"/>
    </w:pPr>
    <w:rPr>
      <w:rFonts w:eastAsia="Times New Roman" w:cs="Times New Roman"/>
      <w:sz w:val="24"/>
      <w:szCs w:val="24"/>
      <w:lang w:val="en-GB" w:eastAsia="en-GB"/>
    </w:rPr>
  </w:style>
  <w:style w:type="character" w:customStyle="1" w:styleId="cf01">
    <w:name w:val="cf01"/>
    <w:basedOn w:val="DefaultParagraphFont"/>
    <w:rsid w:val="008C72A3"/>
    <w:rPr>
      <w:rFonts w:ascii="Segoe UI" w:hAnsi="Segoe UI" w:cs="Segoe UI" w:hint="default"/>
      <w:sz w:val="18"/>
      <w:szCs w:val="18"/>
    </w:rPr>
  </w:style>
  <w:style w:type="character" w:customStyle="1" w:styleId="TOC5Char">
    <w:name w:val="TOC 5 Char"/>
    <w:aliases w:val="Proposal Char"/>
    <w:basedOn w:val="DefaultParagraphFont"/>
    <w:link w:val="TOC5"/>
    <w:qFormat/>
    <w:rsid w:val="00FC2298"/>
    <w:rPr>
      <w:rFonts w:ascii="Times New Roman" w:hAnsi="Times New Roman"/>
      <w:b/>
      <w:sz w:val="20"/>
    </w:rPr>
  </w:style>
  <w:style w:type="character" w:customStyle="1" w:styleId="B1Char">
    <w:name w:val="B1 Char"/>
    <w:link w:val="B1"/>
    <w:qFormat/>
    <w:locked/>
    <w:rsid w:val="00456CC6"/>
    <w:rPr>
      <w:kern w:val="2"/>
      <w:lang w:val="en-GB"/>
      <w14:ligatures w14:val="standardContextual"/>
    </w:rPr>
  </w:style>
  <w:style w:type="paragraph" w:customStyle="1" w:styleId="B1">
    <w:name w:val="B1"/>
    <w:basedOn w:val="List"/>
    <w:link w:val="B1Char"/>
    <w:rsid w:val="00456CC6"/>
    <w:pPr>
      <w:spacing w:line="256" w:lineRule="auto"/>
      <w:ind w:left="568" w:hanging="284"/>
      <w:contextualSpacing w:val="0"/>
    </w:pPr>
    <w:rPr>
      <w:rFonts w:asciiTheme="minorHAnsi" w:hAnsiTheme="minorHAnsi"/>
      <w:kern w:val="2"/>
      <w:sz w:val="22"/>
      <w:lang w:val="en-GB"/>
      <w14:ligatures w14:val="standardContextual"/>
    </w:rPr>
  </w:style>
  <w:style w:type="paragraph" w:styleId="List">
    <w:name w:val="List"/>
    <w:basedOn w:val="Normal"/>
    <w:uiPriority w:val="99"/>
    <w:semiHidden/>
    <w:unhideWhenUsed/>
    <w:rsid w:val="00456CC6"/>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5792">
      <w:bodyDiv w:val="1"/>
      <w:marLeft w:val="0"/>
      <w:marRight w:val="0"/>
      <w:marTop w:val="0"/>
      <w:marBottom w:val="0"/>
      <w:divBdr>
        <w:top w:val="none" w:sz="0" w:space="0" w:color="auto"/>
        <w:left w:val="none" w:sz="0" w:space="0" w:color="auto"/>
        <w:bottom w:val="none" w:sz="0" w:space="0" w:color="auto"/>
        <w:right w:val="none" w:sz="0" w:space="0" w:color="auto"/>
      </w:divBdr>
    </w:div>
    <w:div w:id="1833063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RBI5PAMIO524-1616901215-18490</_dlc_DocId>
    <HideFromDelve xmlns="71c5aaf6-e6ce-465b-b873-5148d2a4c105">false</HideFromDelve>
    <_dlc_DocIdUrl xmlns="71c5aaf6-e6ce-465b-b873-5148d2a4c105">
      <Url>https://nokia.sharepoint.com/sites/gxp/_layouts/15/DocIdRedir.aspx?ID=RBI5PAMIO524-1616901215-18490</Url>
      <Description>RBI5PAMIO524-1616901215-18490</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5391A-3A01-4DD0-ADA9-B350E99A48F9}">
  <ds:schemaRefs>
    <ds:schemaRef ds:uri="Microsoft.SharePoint.Taxonomy.ContentTypeSync"/>
  </ds:schemaRefs>
</ds:datastoreItem>
</file>

<file path=customXml/itemProps2.xml><?xml version="1.0" encoding="utf-8"?>
<ds:datastoreItem xmlns:ds="http://schemas.openxmlformats.org/officeDocument/2006/customXml" ds:itemID="{FD42D5C4-797A-4518-8664-AC49B6628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AD92B-5466-4B86-BD92-E83D04E65B7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FF614E02-6983-4656-A6D7-791AFB8B2007}">
  <ds:schemaRefs>
    <ds:schemaRef ds:uri="http://schemas.microsoft.com/sharepoint/v3/contenttype/forms"/>
  </ds:schemaRefs>
</ds:datastoreItem>
</file>

<file path=customXml/itemProps5.xml><?xml version="1.0" encoding="utf-8"?>
<ds:datastoreItem xmlns:ds="http://schemas.openxmlformats.org/officeDocument/2006/customXml" ds:itemID="{7F4D6F91-B295-4DEF-BD0C-3B9D01C99E39}">
  <ds:schemaRefs>
    <ds:schemaRef ds:uri="http://schemas.microsoft.com/sharepoint/events"/>
  </ds:schemaRefs>
</ds:datastoreItem>
</file>

<file path=customXml/itemProps6.xml><?xml version="1.0" encoding="utf-8"?>
<ds:datastoreItem xmlns:ds="http://schemas.openxmlformats.org/officeDocument/2006/customXml" ds:itemID="{E029134E-DFAB-4FF2-AF37-1B582D350D8F}">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2291</Words>
  <Characters>13060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15321</CharactersWithSpaces>
  <SharedDoc>false</SharedDoc>
  <HLinks>
    <vt:vector size="144" baseType="variant">
      <vt:variant>
        <vt:i4>1900606</vt:i4>
      </vt:variant>
      <vt:variant>
        <vt:i4>92</vt:i4>
      </vt:variant>
      <vt:variant>
        <vt:i4>0</vt:i4>
      </vt:variant>
      <vt:variant>
        <vt:i4>5</vt:i4>
      </vt:variant>
      <vt:variant>
        <vt:lpwstr/>
      </vt:variant>
      <vt:variant>
        <vt:lpwstr>_Toc149648205</vt:lpwstr>
      </vt:variant>
      <vt:variant>
        <vt:i4>1900606</vt:i4>
      </vt:variant>
      <vt:variant>
        <vt:i4>89</vt:i4>
      </vt:variant>
      <vt:variant>
        <vt:i4>0</vt:i4>
      </vt:variant>
      <vt:variant>
        <vt:i4>5</vt:i4>
      </vt:variant>
      <vt:variant>
        <vt:lpwstr/>
      </vt:variant>
      <vt:variant>
        <vt:lpwstr>_Toc149648204</vt:lpwstr>
      </vt:variant>
      <vt:variant>
        <vt:i4>1900606</vt:i4>
      </vt:variant>
      <vt:variant>
        <vt:i4>86</vt:i4>
      </vt:variant>
      <vt:variant>
        <vt:i4>0</vt:i4>
      </vt:variant>
      <vt:variant>
        <vt:i4>5</vt:i4>
      </vt:variant>
      <vt:variant>
        <vt:lpwstr/>
      </vt:variant>
      <vt:variant>
        <vt:lpwstr>_Toc149648203</vt:lpwstr>
      </vt:variant>
      <vt:variant>
        <vt:i4>1900606</vt:i4>
      </vt:variant>
      <vt:variant>
        <vt:i4>83</vt:i4>
      </vt:variant>
      <vt:variant>
        <vt:i4>0</vt:i4>
      </vt:variant>
      <vt:variant>
        <vt:i4>5</vt:i4>
      </vt:variant>
      <vt:variant>
        <vt:lpwstr/>
      </vt:variant>
      <vt:variant>
        <vt:lpwstr>_Toc149648202</vt:lpwstr>
      </vt:variant>
      <vt:variant>
        <vt:i4>1900606</vt:i4>
      </vt:variant>
      <vt:variant>
        <vt:i4>80</vt:i4>
      </vt:variant>
      <vt:variant>
        <vt:i4>0</vt:i4>
      </vt:variant>
      <vt:variant>
        <vt:i4>5</vt:i4>
      </vt:variant>
      <vt:variant>
        <vt:lpwstr/>
      </vt:variant>
      <vt:variant>
        <vt:lpwstr>_Toc149648201</vt:lpwstr>
      </vt:variant>
      <vt:variant>
        <vt:i4>1900606</vt:i4>
      </vt:variant>
      <vt:variant>
        <vt:i4>77</vt:i4>
      </vt:variant>
      <vt:variant>
        <vt:i4>0</vt:i4>
      </vt:variant>
      <vt:variant>
        <vt:i4>5</vt:i4>
      </vt:variant>
      <vt:variant>
        <vt:lpwstr/>
      </vt:variant>
      <vt:variant>
        <vt:lpwstr>_Toc149648200</vt:lpwstr>
      </vt:variant>
      <vt:variant>
        <vt:i4>1310781</vt:i4>
      </vt:variant>
      <vt:variant>
        <vt:i4>74</vt:i4>
      </vt:variant>
      <vt:variant>
        <vt:i4>0</vt:i4>
      </vt:variant>
      <vt:variant>
        <vt:i4>5</vt:i4>
      </vt:variant>
      <vt:variant>
        <vt:lpwstr/>
      </vt:variant>
      <vt:variant>
        <vt:lpwstr>_Toc149648199</vt:lpwstr>
      </vt:variant>
      <vt:variant>
        <vt:i4>1310781</vt:i4>
      </vt:variant>
      <vt:variant>
        <vt:i4>71</vt:i4>
      </vt:variant>
      <vt:variant>
        <vt:i4>0</vt:i4>
      </vt:variant>
      <vt:variant>
        <vt:i4>5</vt:i4>
      </vt:variant>
      <vt:variant>
        <vt:lpwstr/>
      </vt:variant>
      <vt:variant>
        <vt:lpwstr>_Toc149648198</vt:lpwstr>
      </vt:variant>
      <vt:variant>
        <vt:i4>1310781</vt:i4>
      </vt:variant>
      <vt:variant>
        <vt:i4>68</vt:i4>
      </vt:variant>
      <vt:variant>
        <vt:i4>0</vt:i4>
      </vt:variant>
      <vt:variant>
        <vt:i4>5</vt:i4>
      </vt:variant>
      <vt:variant>
        <vt:lpwstr/>
      </vt:variant>
      <vt:variant>
        <vt:lpwstr>_Toc149648197</vt:lpwstr>
      </vt:variant>
      <vt:variant>
        <vt:i4>1310781</vt:i4>
      </vt:variant>
      <vt:variant>
        <vt:i4>65</vt:i4>
      </vt:variant>
      <vt:variant>
        <vt:i4>0</vt:i4>
      </vt:variant>
      <vt:variant>
        <vt:i4>5</vt:i4>
      </vt:variant>
      <vt:variant>
        <vt:lpwstr/>
      </vt:variant>
      <vt:variant>
        <vt:lpwstr>_Toc149648196</vt:lpwstr>
      </vt:variant>
      <vt:variant>
        <vt:i4>1310781</vt:i4>
      </vt:variant>
      <vt:variant>
        <vt:i4>62</vt:i4>
      </vt:variant>
      <vt:variant>
        <vt:i4>0</vt:i4>
      </vt:variant>
      <vt:variant>
        <vt:i4>5</vt:i4>
      </vt:variant>
      <vt:variant>
        <vt:lpwstr/>
      </vt:variant>
      <vt:variant>
        <vt:lpwstr>_Toc149648195</vt:lpwstr>
      </vt:variant>
      <vt:variant>
        <vt:i4>1310781</vt:i4>
      </vt:variant>
      <vt:variant>
        <vt:i4>59</vt:i4>
      </vt:variant>
      <vt:variant>
        <vt:i4>0</vt:i4>
      </vt:variant>
      <vt:variant>
        <vt:i4>5</vt:i4>
      </vt:variant>
      <vt:variant>
        <vt:lpwstr/>
      </vt:variant>
      <vt:variant>
        <vt:lpwstr>_Toc149648194</vt:lpwstr>
      </vt:variant>
      <vt:variant>
        <vt:i4>1310781</vt:i4>
      </vt:variant>
      <vt:variant>
        <vt:i4>56</vt:i4>
      </vt:variant>
      <vt:variant>
        <vt:i4>0</vt:i4>
      </vt:variant>
      <vt:variant>
        <vt:i4>5</vt:i4>
      </vt:variant>
      <vt:variant>
        <vt:lpwstr/>
      </vt:variant>
      <vt:variant>
        <vt:lpwstr>_Toc149648193</vt:lpwstr>
      </vt:variant>
      <vt:variant>
        <vt:i4>1310781</vt:i4>
      </vt:variant>
      <vt:variant>
        <vt:i4>53</vt:i4>
      </vt:variant>
      <vt:variant>
        <vt:i4>0</vt:i4>
      </vt:variant>
      <vt:variant>
        <vt:i4>5</vt:i4>
      </vt:variant>
      <vt:variant>
        <vt:lpwstr/>
      </vt:variant>
      <vt:variant>
        <vt:lpwstr>_Toc149648192</vt:lpwstr>
      </vt:variant>
      <vt:variant>
        <vt:i4>1310781</vt:i4>
      </vt:variant>
      <vt:variant>
        <vt:i4>50</vt:i4>
      </vt:variant>
      <vt:variant>
        <vt:i4>0</vt:i4>
      </vt:variant>
      <vt:variant>
        <vt:i4>5</vt:i4>
      </vt:variant>
      <vt:variant>
        <vt:lpwstr/>
      </vt:variant>
      <vt:variant>
        <vt:lpwstr>_Toc149648191</vt:lpwstr>
      </vt:variant>
      <vt:variant>
        <vt:i4>1310781</vt:i4>
      </vt:variant>
      <vt:variant>
        <vt:i4>47</vt:i4>
      </vt:variant>
      <vt:variant>
        <vt:i4>0</vt:i4>
      </vt:variant>
      <vt:variant>
        <vt:i4>5</vt:i4>
      </vt:variant>
      <vt:variant>
        <vt:lpwstr/>
      </vt:variant>
      <vt:variant>
        <vt:lpwstr>_Toc149648190</vt:lpwstr>
      </vt:variant>
      <vt:variant>
        <vt:i4>1376317</vt:i4>
      </vt:variant>
      <vt:variant>
        <vt:i4>44</vt:i4>
      </vt:variant>
      <vt:variant>
        <vt:i4>0</vt:i4>
      </vt:variant>
      <vt:variant>
        <vt:i4>5</vt:i4>
      </vt:variant>
      <vt:variant>
        <vt:lpwstr/>
      </vt:variant>
      <vt:variant>
        <vt:lpwstr>_Toc149648189</vt:lpwstr>
      </vt:variant>
      <vt:variant>
        <vt:i4>1376317</vt:i4>
      </vt:variant>
      <vt:variant>
        <vt:i4>41</vt:i4>
      </vt:variant>
      <vt:variant>
        <vt:i4>0</vt:i4>
      </vt:variant>
      <vt:variant>
        <vt:i4>5</vt:i4>
      </vt:variant>
      <vt:variant>
        <vt:lpwstr/>
      </vt:variant>
      <vt:variant>
        <vt:lpwstr>_Toc149648188</vt:lpwstr>
      </vt:variant>
      <vt:variant>
        <vt:i4>1376317</vt:i4>
      </vt:variant>
      <vt:variant>
        <vt:i4>38</vt:i4>
      </vt:variant>
      <vt:variant>
        <vt:i4>0</vt:i4>
      </vt:variant>
      <vt:variant>
        <vt:i4>5</vt:i4>
      </vt:variant>
      <vt:variant>
        <vt:lpwstr/>
      </vt:variant>
      <vt:variant>
        <vt:lpwstr>_Toc149648187</vt:lpwstr>
      </vt:variant>
      <vt:variant>
        <vt:i4>1376317</vt:i4>
      </vt:variant>
      <vt:variant>
        <vt:i4>35</vt:i4>
      </vt:variant>
      <vt:variant>
        <vt:i4>0</vt:i4>
      </vt:variant>
      <vt:variant>
        <vt:i4>5</vt:i4>
      </vt:variant>
      <vt:variant>
        <vt:lpwstr/>
      </vt:variant>
      <vt:variant>
        <vt:lpwstr>_Toc149648186</vt:lpwstr>
      </vt:variant>
      <vt:variant>
        <vt:i4>1376317</vt:i4>
      </vt:variant>
      <vt:variant>
        <vt:i4>32</vt:i4>
      </vt:variant>
      <vt:variant>
        <vt:i4>0</vt:i4>
      </vt:variant>
      <vt:variant>
        <vt:i4>5</vt:i4>
      </vt:variant>
      <vt:variant>
        <vt:lpwstr/>
      </vt:variant>
      <vt:variant>
        <vt:lpwstr>_Toc149648185</vt:lpwstr>
      </vt:variant>
      <vt:variant>
        <vt:i4>1376317</vt:i4>
      </vt:variant>
      <vt:variant>
        <vt:i4>29</vt:i4>
      </vt:variant>
      <vt:variant>
        <vt:i4>0</vt:i4>
      </vt:variant>
      <vt:variant>
        <vt:i4>5</vt:i4>
      </vt:variant>
      <vt:variant>
        <vt:lpwstr/>
      </vt:variant>
      <vt:variant>
        <vt:lpwstr>_Toc149648184</vt:lpwstr>
      </vt:variant>
      <vt:variant>
        <vt:i4>1376317</vt:i4>
      </vt:variant>
      <vt:variant>
        <vt:i4>26</vt:i4>
      </vt:variant>
      <vt:variant>
        <vt:i4>0</vt:i4>
      </vt:variant>
      <vt:variant>
        <vt:i4>5</vt:i4>
      </vt:variant>
      <vt:variant>
        <vt:lpwstr/>
      </vt:variant>
      <vt:variant>
        <vt:lpwstr>_Toc149648183</vt:lpwstr>
      </vt:variant>
      <vt:variant>
        <vt:i4>1376317</vt:i4>
      </vt:variant>
      <vt:variant>
        <vt:i4>23</vt:i4>
      </vt:variant>
      <vt:variant>
        <vt:i4>0</vt:i4>
      </vt:variant>
      <vt:variant>
        <vt:i4>5</vt:i4>
      </vt:variant>
      <vt:variant>
        <vt:lpwstr/>
      </vt:variant>
      <vt:variant>
        <vt:lpwstr>_Toc149648182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2024-04-08T18:23:00Z</dcterms:created>
  <dcterms:modified xsi:type="dcterms:W3CDTF">2024-04-08T18:44:00Z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56579dbf-8c80-41da-becc-958ac51707d6</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